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9DB" w:rsidRDefault="00DB63C3">
      <w:pPr>
        <w:pStyle w:val="Corpsdetexte"/>
        <w:numPr>
          <w:ilvl w:val="0"/>
          <w:numId w:val="2"/>
        </w:numPr>
        <w:spacing w:after="0" w:line="240" w:lineRule="auto"/>
        <w:jc w:val="center"/>
        <w:rPr>
          <w:b/>
          <w:bCs/>
          <w:sz w:val="48"/>
          <w:szCs w:val="48"/>
        </w:rPr>
      </w:pPr>
      <w:bookmarkStart w:id="0" w:name="__RefHeading___Toc172_1750294226"/>
      <w:bookmarkStart w:id="1" w:name="_GoBack"/>
      <w:bookmarkEnd w:id="0"/>
      <w:bookmarkEnd w:id="1"/>
      <w:r>
        <w:rPr>
          <w:b/>
          <w:bCs/>
          <w:sz w:val="48"/>
          <w:szCs w:val="48"/>
        </w:rPr>
        <w:t>SEGAE</w:t>
      </w:r>
    </w:p>
    <w:p w:rsidR="00DF69DB" w:rsidRDefault="00DB63C3">
      <w:pPr>
        <w:pStyle w:val="Corpsdetexte"/>
        <w:spacing w:after="0" w:line="240" w:lineRule="auto"/>
        <w:jc w:val="center"/>
      </w:pPr>
      <w:r>
        <w:rPr>
          <w:b/>
          <w:bCs/>
        </w:rPr>
        <w:t>SE</w:t>
      </w:r>
      <w:r>
        <w:t xml:space="preserve">rious </w:t>
      </w:r>
      <w:r>
        <w:rPr>
          <w:b/>
          <w:bCs/>
        </w:rPr>
        <w:t>G</w:t>
      </w:r>
      <w:r>
        <w:t xml:space="preserve">ame in </w:t>
      </w:r>
      <w:r>
        <w:rPr>
          <w:b/>
          <w:bCs/>
        </w:rPr>
        <w:t>A</w:t>
      </w:r>
      <w:r>
        <w:t>gro</w:t>
      </w:r>
      <w:r>
        <w:rPr>
          <w:b/>
          <w:bCs/>
        </w:rPr>
        <w:t>E</w:t>
      </w:r>
      <w:r>
        <w:t>cology</w:t>
      </w:r>
    </w:p>
    <w:p w:rsidR="00DF69DB" w:rsidRDefault="00DB63C3">
      <w:pPr>
        <w:pStyle w:val="Corpsdetexte"/>
        <w:spacing w:after="0" w:line="240" w:lineRule="auto"/>
        <w:jc w:val="center"/>
      </w:pPr>
      <w:r>
        <w:t>tutoriel</w:t>
      </w:r>
    </w:p>
    <w:p w:rsidR="00DF69DB" w:rsidRDefault="00DF69DB">
      <w:pPr>
        <w:pStyle w:val="Corpsdetexte"/>
        <w:spacing w:after="0" w:line="240" w:lineRule="auto"/>
        <w:jc w:val="center"/>
      </w:pPr>
    </w:p>
    <w:p w:rsidR="00DF69DB" w:rsidRDefault="00DB63C3">
      <w:pPr>
        <w:pStyle w:val="Corpsdetexte"/>
        <w:spacing w:before="240" w:after="120"/>
        <w:jc w:val="center"/>
      </w:pPr>
      <w:r>
        <w:rPr>
          <w:noProof/>
          <w:lang w:eastAsia="fr-FR" w:bidi="ar-SA"/>
        </w:rPr>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6120130" cy="3769995"/>
            <wp:effectExtent l="0" t="0" r="0" b="0"/>
            <wp:wrapSquare wrapText="largest"/>
            <wp:docPr id="1"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pic:cNvPicPr>
                      <a:picLocks noChangeAspect="1" noChangeArrowheads="1"/>
                    </pic:cNvPicPr>
                  </pic:nvPicPr>
                  <pic:blipFill>
                    <a:blip r:embed="rId7"/>
                    <a:stretch>
                      <a:fillRect/>
                    </a:stretch>
                  </pic:blipFill>
                  <pic:spPr bwMode="auto">
                    <a:xfrm>
                      <a:off x="0" y="0"/>
                      <a:ext cx="6120130" cy="3769995"/>
                    </a:xfrm>
                    <a:prstGeom prst="rect">
                      <a:avLst/>
                    </a:prstGeom>
                  </pic:spPr>
                </pic:pic>
              </a:graphicData>
            </a:graphic>
          </wp:anchor>
        </w:drawing>
      </w:r>
    </w:p>
    <w:sdt>
      <w:sdtPr>
        <w:rPr>
          <w:rFonts w:ascii="Liberation Serif" w:eastAsia="NSimSun" w:hAnsi="Liberation Serif"/>
          <w:b w:val="0"/>
          <w:bCs w:val="0"/>
          <w:sz w:val="24"/>
          <w:szCs w:val="24"/>
        </w:rPr>
        <w:id w:val="225117334"/>
        <w:docPartObj>
          <w:docPartGallery w:val="Table of Contents"/>
          <w:docPartUnique/>
        </w:docPartObj>
      </w:sdtPr>
      <w:sdtEndPr/>
      <w:sdtContent>
        <w:p w:rsidR="00DF69DB" w:rsidRDefault="00DB63C3">
          <w:pPr>
            <w:pStyle w:val="TitreTR"/>
          </w:pPr>
          <w:r>
            <w:t>Table des matières</w:t>
          </w:r>
        </w:p>
        <w:p w:rsidR="004A0108" w:rsidRDefault="00DB63C3">
          <w:pPr>
            <w:pStyle w:val="TM2"/>
            <w:rPr>
              <w:rFonts w:asciiTheme="minorHAnsi" w:eastAsiaTheme="minorEastAsia" w:hAnsiTheme="minorHAnsi" w:cstheme="minorBidi"/>
              <w:noProof/>
              <w:kern w:val="0"/>
              <w:sz w:val="22"/>
              <w:szCs w:val="22"/>
              <w:lang w:eastAsia="fr-FR" w:bidi="ar-SA"/>
            </w:rPr>
          </w:pPr>
          <w:r>
            <w:fldChar w:fldCharType="begin"/>
          </w:r>
          <w:r>
            <w:rPr>
              <w:rStyle w:val="czeindeksu"/>
            </w:rPr>
            <w:instrText>TOC \f \o "1-2" \h</w:instrText>
          </w:r>
          <w:r>
            <w:rPr>
              <w:rStyle w:val="czeindeksu"/>
            </w:rPr>
            <w:fldChar w:fldCharType="separate"/>
          </w:r>
          <w:hyperlink w:anchor="_Toc49411125" w:history="1">
            <w:r w:rsidR="004A0108" w:rsidRPr="00AD0C83">
              <w:rPr>
                <w:rStyle w:val="Lienhypertexte"/>
                <w:noProof/>
              </w:rPr>
              <w:t>1. Introduction</w:t>
            </w:r>
            <w:r w:rsidR="004A0108">
              <w:rPr>
                <w:noProof/>
              </w:rPr>
              <w:tab/>
            </w:r>
            <w:r w:rsidR="004A0108">
              <w:rPr>
                <w:noProof/>
              </w:rPr>
              <w:fldChar w:fldCharType="begin"/>
            </w:r>
            <w:r w:rsidR="004A0108">
              <w:rPr>
                <w:noProof/>
              </w:rPr>
              <w:instrText xml:space="preserve"> PAGEREF _Toc49411125 \h </w:instrText>
            </w:r>
            <w:r w:rsidR="004A0108">
              <w:rPr>
                <w:noProof/>
              </w:rPr>
            </w:r>
            <w:r w:rsidR="004A0108">
              <w:rPr>
                <w:noProof/>
              </w:rPr>
              <w:fldChar w:fldCharType="separate"/>
            </w:r>
            <w:r w:rsidR="004A0108">
              <w:rPr>
                <w:noProof/>
              </w:rPr>
              <w:t>2</w:t>
            </w:r>
            <w:r w:rsidR="004A0108">
              <w:rPr>
                <w:noProof/>
              </w:rPr>
              <w:fldChar w:fldCharType="end"/>
            </w:r>
          </w:hyperlink>
        </w:p>
        <w:p w:rsidR="004A0108" w:rsidRDefault="00CF4CF9">
          <w:pPr>
            <w:pStyle w:val="TM2"/>
            <w:rPr>
              <w:rFonts w:asciiTheme="minorHAnsi" w:eastAsiaTheme="minorEastAsia" w:hAnsiTheme="minorHAnsi" w:cstheme="minorBidi"/>
              <w:noProof/>
              <w:kern w:val="0"/>
              <w:sz w:val="22"/>
              <w:szCs w:val="22"/>
              <w:lang w:eastAsia="fr-FR" w:bidi="ar-SA"/>
            </w:rPr>
          </w:pPr>
          <w:hyperlink w:anchor="_Toc49411126" w:history="1">
            <w:r w:rsidR="004A0108" w:rsidRPr="00AD0C83">
              <w:rPr>
                <w:rStyle w:val="Lienhypertexte"/>
                <w:noProof/>
              </w:rPr>
              <w:t>2. Interface</w:t>
            </w:r>
            <w:r w:rsidR="004A0108">
              <w:rPr>
                <w:noProof/>
              </w:rPr>
              <w:tab/>
            </w:r>
            <w:r w:rsidR="004A0108">
              <w:rPr>
                <w:noProof/>
              </w:rPr>
              <w:fldChar w:fldCharType="begin"/>
            </w:r>
            <w:r w:rsidR="004A0108">
              <w:rPr>
                <w:noProof/>
              </w:rPr>
              <w:instrText xml:space="preserve"> PAGEREF _Toc49411126 \h </w:instrText>
            </w:r>
            <w:r w:rsidR="004A0108">
              <w:rPr>
                <w:noProof/>
              </w:rPr>
            </w:r>
            <w:r w:rsidR="004A0108">
              <w:rPr>
                <w:noProof/>
              </w:rPr>
              <w:fldChar w:fldCharType="separate"/>
            </w:r>
            <w:r w:rsidR="004A0108">
              <w:rPr>
                <w:noProof/>
              </w:rPr>
              <w:t>3</w:t>
            </w:r>
            <w:r w:rsidR="004A0108">
              <w:rPr>
                <w:noProof/>
              </w:rPr>
              <w:fldChar w:fldCharType="end"/>
            </w:r>
          </w:hyperlink>
        </w:p>
        <w:p w:rsidR="004A0108" w:rsidRDefault="00CF4CF9">
          <w:pPr>
            <w:pStyle w:val="TM1"/>
            <w:rPr>
              <w:rFonts w:asciiTheme="minorHAnsi" w:eastAsiaTheme="minorEastAsia" w:hAnsiTheme="minorHAnsi" w:cstheme="minorBidi"/>
              <w:noProof/>
              <w:kern w:val="0"/>
              <w:sz w:val="22"/>
              <w:szCs w:val="22"/>
              <w:lang w:eastAsia="fr-FR" w:bidi="ar-SA"/>
            </w:rPr>
          </w:pPr>
          <w:hyperlink w:anchor="_Toc49411127" w:history="1">
            <w:r w:rsidR="004A0108" w:rsidRPr="00AD0C83">
              <w:rPr>
                <w:rStyle w:val="Lienhypertexte"/>
                <w:noProof/>
              </w:rPr>
              <w:t>3. Bref aperçu des mesures écologiques</w:t>
            </w:r>
            <w:r w:rsidR="004A0108">
              <w:rPr>
                <w:noProof/>
              </w:rPr>
              <w:tab/>
            </w:r>
            <w:r w:rsidR="004A0108">
              <w:rPr>
                <w:noProof/>
              </w:rPr>
              <w:fldChar w:fldCharType="begin"/>
            </w:r>
            <w:r w:rsidR="004A0108">
              <w:rPr>
                <w:noProof/>
              </w:rPr>
              <w:instrText xml:space="preserve"> PAGEREF _Toc49411127 \h </w:instrText>
            </w:r>
            <w:r w:rsidR="004A0108">
              <w:rPr>
                <w:noProof/>
              </w:rPr>
            </w:r>
            <w:r w:rsidR="004A0108">
              <w:rPr>
                <w:noProof/>
              </w:rPr>
              <w:fldChar w:fldCharType="separate"/>
            </w:r>
            <w:r w:rsidR="004A0108">
              <w:rPr>
                <w:noProof/>
              </w:rPr>
              <w:t>4</w:t>
            </w:r>
            <w:r w:rsidR="004A0108">
              <w:rPr>
                <w:noProof/>
              </w:rPr>
              <w:fldChar w:fldCharType="end"/>
            </w:r>
          </w:hyperlink>
        </w:p>
        <w:p w:rsidR="00DF69DB" w:rsidRDefault="00DB63C3">
          <w:pPr>
            <w:pStyle w:val="TM1"/>
          </w:pPr>
          <w:r>
            <w:rPr>
              <w:rStyle w:val="czeindeksu"/>
            </w:rPr>
            <w:fldChar w:fldCharType="end"/>
          </w:r>
        </w:p>
      </w:sdtContent>
    </w:sdt>
    <w:p w:rsidR="00DF69DB" w:rsidRDefault="00DF69DB">
      <w:pPr>
        <w:pStyle w:val="Corpsdetexte"/>
      </w:pPr>
    </w:p>
    <w:p w:rsidR="00DF69DB" w:rsidRDefault="00DF69DB">
      <w:pPr>
        <w:pStyle w:val="Corpsdetexte"/>
      </w:pPr>
    </w:p>
    <w:p w:rsidR="00DF69DB" w:rsidRDefault="00DB63C3">
      <w:pPr>
        <w:pStyle w:val="Corpsdetexte"/>
      </w:pPr>
      <w:bookmarkStart w:id="2" w:name="__RefHeading___Toc286_1750294226"/>
      <w:bookmarkEnd w:id="2"/>
      <w:r>
        <w:t xml:space="preserve">Jeu : </w:t>
      </w:r>
      <w:hyperlink r:id="rId8">
        <w:r>
          <w:rPr>
            <w:rStyle w:val="czeinternetowe"/>
          </w:rPr>
          <w:t>https://succubus.cleverapps.io/livraison/segae/app/</w:t>
        </w:r>
      </w:hyperlink>
    </w:p>
    <w:p w:rsidR="00DF69DB" w:rsidRDefault="00DB63C3">
      <w:pPr>
        <w:pStyle w:val="Corpsdetexte"/>
      </w:pPr>
      <w:bookmarkStart w:id="3" w:name="__RefHeading___Toc288_1750294226"/>
      <w:bookmarkEnd w:id="3"/>
      <w:r>
        <w:t xml:space="preserve">Tutoriel : </w:t>
      </w:r>
      <w:hyperlink r:id="rId9">
        <w:r>
          <w:rPr>
            <w:rStyle w:val="czeinternetowe"/>
          </w:rPr>
          <w:t>http://mc.wipie.ur.krakow.pl/segae/</w:t>
        </w:r>
      </w:hyperlink>
      <w:r>
        <w:br w:type="page"/>
      </w:r>
    </w:p>
    <w:p w:rsidR="00DF69DB" w:rsidRDefault="00DB63C3">
      <w:pPr>
        <w:pStyle w:val="Titre2"/>
        <w:numPr>
          <w:ilvl w:val="1"/>
          <w:numId w:val="2"/>
        </w:numPr>
      </w:pPr>
      <w:bookmarkStart w:id="4" w:name="_Toc49411125"/>
      <w:r>
        <w:lastRenderedPageBreak/>
        <w:t>1. Introduction</w:t>
      </w:r>
      <w:bookmarkEnd w:id="4"/>
    </w:p>
    <w:p w:rsidR="00DF69DB" w:rsidRDefault="00DB63C3">
      <w:r>
        <w:t xml:space="preserve">SEGAE est un jeu au tour par tour. En tant que « jeu éducatif », il vise à montrer comment passer de l'agriculture conventionnelle à l'agriculture biologique. L'exploitation concernée par ces changements est engagée dans l'élevage de bovins et la production en plein champ. Ce jeu est destiné à des personnes qui possèdent au minimum des connaissances de base en matière de gestion d’exploitation agricole. </w:t>
      </w:r>
    </w:p>
    <w:p w:rsidR="00DF69DB" w:rsidRDefault="00DB63C3">
      <w:r>
        <w:t xml:space="preserve">Une fois qu’il a joué, le joueur passe à l'année suivante (c'est-à-dire au tour suivant), où il peut voir les effets de ses actions et analyser en détail ce qui a changé, comment cela a changé et pourquoi cela a changé. </w:t>
      </w:r>
    </w:p>
    <w:p w:rsidR="00DF69DB" w:rsidRDefault="00DB63C3">
      <w:r>
        <w:t>Le but du jeu peut être, selon le scénario</w:t>
      </w:r>
      <w:r w:rsidR="004A0108">
        <w:t xml:space="preserve"> choisi</w:t>
      </w:r>
      <w:r>
        <w:t>, d'atteindre les objectifs fixés ou d'obtenir le meilleur score. Le résultat du jeu peut être comparé avec celui des autres joueurs.</w:t>
      </w:r>
    </w:p>
    <w:p w:rsidR="00DF69DB" w:rsidRDefault="00DB63C3">
      <w:pPr>
        <w:pStyle w:val="Angielski"/>
      </w:pPr>
      <w:r>
        <w:rPr>
          <w:noProof/>
          <w:lang w:eastAsia="fr-FR" w:bidi="ar-SA"/>
        </w:rPr>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6120130" cy="3767455"/>
            <wp:effectExtent l="0" t="0" r="0" b="0"/>
            <wp:wrapSquare wrapText="largest"/>
            <wp:docPr id="2"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pic:cNvPicPr>
                      <a:picLocks noChangeAspect="1" noChangeArrowheads="1"/>
                    </pic:cNvPicPr>
                  </pic:nvPicPr>
                  <pic:blipFill>
                    <a:blip r:embed="rId10"/>
                    <a:stretch>
                      <a:fillRect/>
                    </a:stretch>
                  </pic:blipFill>
                  <pic:spPr bwMode="auto">
                    <a:xfrm>
                      <a:off x="0" y="0"/>
                      <a:ext cx="6120130" cy="3767455"/>
                    </a:xfrm>
                    <a:prstGeom prst="rect">
                      <a:avLst/>
                    </a:prstGeom>
                  </pic:spPr>
                </pic:pic>
              </a:graphicData>
            </a:graphic>
          </wp:anchor>
        </w:drawing>
      </w:r>
      <w:r>
        <w:br w:type="page"/>
      </w:r>
    </w:p>
    <w:p w:rsidR="00DF69DB" w:rsidRDefault="00DB63C3">
      <w:pPr>
        <w:pStyle w:val="Titre2"/>
        <w:numPr>
          <w:ilvl w:val="1"/>
          <w:numId w:val="2"/>
        </w:numPr>
      </w:pPr>
      <w:bookmarkStart w:id="5" w:name="_Toc49411126"/>
      <w:r>
        <w:lastRenderedPageBreak/>
        <w:t>2. Interface</w:t>
      </w:r>
      <w:bookmarkEnd w:id="5"/>
    </w:p>
    <w:p w:rsidR="00DF69DB" w:rsidRDefault="00DB63C3">
      <w:r>
        <w:t xml:space="preserve">L'interface de jeu </w:t>
      </w:r>
      <w:r w:rsidR="004A0108">
        <w:t>est située</w:t>
      </w:r>
      <w:r>
        <w:t xml:space="preserve"> sur ce tableau. </w:t>
      </w:r>
    </w:p>
    <w:p w:rsidR="00DF69DB" w:rsidRDefault="002A46BB">
      <w:r>
        <w:rPr>
          <w:noProof/>
          <w:lang w:eastAsia="fr-FR" w:bidi="ar-SA"/>
        </w:rPr>
        <w:drawing>
          <wp:anchor distT="0" distB="0" distL="0" distR="0" simplePos="0" relativeHeight="251659264" behindDoc="0" locked="0" layoutInCell="1" allowOverlap="1" wp14:anchorId="330E522E" wp14:editId="477384A7">
            <wp:simplePos x="0" y="0"/>
            <wp:positionH relativeFrom="column">
              <wp:posOffset>5766628</wp:posOffset>
            </wp:positionH>
            <wp:positionV relativeFrom="paragraph">
              <wp:posOffset>685386</wp:posOffset>
            </wp:positionV>
            <wp:extent cx="531495" cy="269875"/>
            <wp:effectExtent l="0" t="0" r="0" b="0"/>
            <wp:wrapSquare wrapText="largest"/>
            <wp:docPr id="4"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4"/>
                    <pic:cNvPicPr>
                      <a:picLocks noChangeAspect="1" noChangeArrowheads="1"/>
                    </pic:cNvPicPr>
                  </pic:nvPicPr>
                  <pic:blipFill>
                    <a:blip r:embed="rId11"/>
                    <a:stretch>
                      <a:fillRect/>
                    </a:stretch>
                  </pic:blipFill>
                  <pic:spPr bwMode="auto">
                    <a:xfrm>
                      <a:off x="0" y="0"/>
                      <a:ext cx="531495" cy="269875"/>
                    </a:xfrm>
                    <a:prstGeom prst="rect">
                      <a:avLst/>
                    </a:prstGeom>
                  </pic:spPr>
                </pic:pic>
              </a:graphicData>
            </a:graphic>
          </wp:anchor>
        </w:drawing>
      </w:r>
      <w:r w:rsidR="00DB63C3">
        <w:t>Dans</w:t>
      </w:r>
      <w:r w:rsidR="00DB63C3">
        <w:rPr>
          <w:noProof/>
          <w:lang w:eastAsia="fr-FR" w:bidi="ar-SA"/>
        </w:rPr>
        <w:drawing>
          <wp:anchor distT="0" distB="0" distL="0" distR="0" simplePos="0" relativeHeight="251657216" behindDoc="0" locked="0" layoutInCell="1" allowOverlap="1" wp14:anchorId="6EA926FD" wp14:editId="6A4998DD">
            <wp:simplePos x="0" y="0"/>
            <wp:positionH relativeFrom="column">
              <wp:posOffset>19050</wp:posOffset>
            </wp:positionH>
            <wp:positionV relativeFrom="paragraph">
              <wp:posOffset>60325</wp:posOffset>
            </wp:positionV>
            <wp:extent cx="1017270" cy="626745"/>
            <wp:effectExtent l="0" t="0" r="0" b="0"/>
            <wp:wrapSquare wrapText="largest"/>
            <wp:docPr id="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a:blip r:embed="rId12"/>
                    <a:stretch>
                      <a:fillRect/>
                    </a:stretch>
                  </pic:blipFill>
                  <pic:spPr bwMode="auto">
                    <a:xfrm>
                      <a:off x="0" y="0"/>
                      <a:ext cx="1017270" cy="626745"/>
                    </a:xfrm>
                    <a:prstGeom prst="rect">
                      <a:avLst/>
                    </a:prstGeom>
                  </pic:spPr>
                </pic:pic>
              </a:graphicData>
            </a:graphic>
          </wp:anchor>
        </w:drawing>
      </w:r>
      <w:r w:rsidR="00DB63C3">
        <w:t xml:space="preserve"> le coin inférieur gauche se trouvent les rapports détaillés sur </w:t>
      </w:r>
      <w:r w:rsidR="004A0108">
        <w:t>l’</w:t>
      </w:r>
      <w:r w:rsidR="00DB63C3">
        <w:t xml:space="preserve">étape de jeu </w:t>
      </w:r>
      <w:r w:rsidR="004A0108">
        <w:t>concer</w:t>
      </w:r>
      <w:r w:rsidR="00DB63C3">
        <w:t>née. Ce sont des informations sur l'exploitation et les mesures prises pendant l'année en cours et les années précédentes.</w:t>
      </w:r>
    </w:p>
    <w:p w:rsidR="00DF69DB" w:rsidRDefault="00DB63C3">
      <w:r>
        <w:t>Le coin inférieur droit permet de passer à l'année suivante, c'est-à-dire au tour suivant du jeu.</w:t>
      </w:r>
    </w:p>
    <w:p w:rsidR="00DF69DB" w:rsidRDefault="00DB63C3">
      <w:r>
        <w:t xml:space="preserve">Un indicateur d’équilibre cumulé se trouve </w:t>
      </w:r>
      <w:r>
        <w:rPr>
          <w:noProof/>
          <w:lang w:eastAsia="fr-FR" w:bidi="ar-SA"/>
        </w:rPr>
        <w:drawing>
          <wp:anchor distT="0" distB="0" distL="0" distR="0" simplePos="0" relativeHeight="6" behindDoc="0" locked="0" layoutInCell="1" allowOverlap="1">
            <wp:simplePos x="0" y="0"/>
            <wp:positionH relativeFrom="column">
              <wp:posOffset>27305</wp:posOffset>
            </wp:positionH>
            <wp:positionV relativeFrom="paragraph">
              <wp:posOffset>41910</wp:posOffset>
            </wp:positionV>
            <wp:extent cx="1616710" cy="894080"/>
            <wp:effectExtent l="0" t="0" r="0" b="0"/>
            <wp:wrapSquare wrapText="largest"/>
            <wp:docPr id="5"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5"/>
                    <pic:cNvPicPr>
                      <a:picLocks noChangeAspect="1" noChangeArrowheads="1"/>
                    </pic:cNvPicPr>
                  </pic:nvPicPr>
                  <pic:blipFill>
                    <a:blip r:embed="rId13"/>
                    <a:stretch>
                      <a:fillRect/>
                    </a:stretch>
                  </pic:blipFill>
                  <pic:spPr bwMode="auto">
                    <a:xfrm>
                      <a:off x="0" y="0"/>
                      <a:ext cx="1616710" cy="894080"/>
                    </a:xfrm>
                    <a:prstGeom prst="rect">
                      <a:avLst/>
                    </a:prstGeom>
                  </pic:spPr>
                </pic:pic>
              </a:graphicData>
            </a:graphic>
          </wp:anchor>
        </w:drawing>
      </w:r>
      <w:r>
        <w:t>en bas, au milieu de l'écran. Cet indicateur se compose de trois éléments, qui sont l'équilibre économique, environnemental et social. Vous pouvez également vérifier à tout moment ce qui affecte ces indicateurs.</w:t>
      </w:r>
    </w:p>
    <w:p w:rsidR="00DF69DB" w:rsidRDefault="00DB63C3">
      <w:r>
        <w:t>Le joueur a la possibilité de réaliser diverses activités pour obtenir l'effet souhaité. Les boutons permettant ces changements sont placés à différents endroits du tableau de manière intuitive et sont marqués par les pictogrammes appropriés. Le tableau comporte 10 zones qui permettent de mener diverses activités - dans quelques cas, les mêmes activités sont accessibles par plusieurs endroits (le système d'alimentation des vaches est par exemple accessible par « système d’alimentation » et par « vaches »).</w:t>
      </w:r>
    </w:p>
    <w:p w:rsidR="00DF69DB" w:rsidRDefault="00DF69DB"/>
    <w:p w:rsidR="00DF69DB" w:rsidRDefault="00DB63C3">
      <w:pPr>
        <w:pStyle w:val="Titre1"/>
        <w:numPr>
          <w:ilvl w:val="0"/>
          <w:numId w:val="0"/>
        </w:numPr>
      </w:pPr>
      <w:r>
        <w:br w:type="page"/>
      </w:r>
    </w:p>
    <w:p w:rsidR="00DF69DB" w:rsidRDefault="00DB63C3">
      <w:pPr>
        <w:pStyle w:val="Titre1"/>
      </w:pPr>
      <w:bookmarkStart w:id="6" w:name="_Toc49411127"/>
      <w:r>
        <w:lastRenderedPageBreak/>
        <w:t>3. Bref aperçu des mesures écologiques</w:t>
      </w:r>
      <w:bookmarkEnd w:id="6"/>
    </w:p>
    <w:tbl>
      <w:tblPr>
        <w:tblW w:w="9638" w:type="dxa"/>
        <w:tblCellMar>
          <w:left w:w="0" w:type="dxa"/>
          <w:right w:w="0" w:type="dxa"/>
        </w:tblCellMar>
        <w:tblLook w:val="0000" w:firstRow="0" w:lastRow="0" w:firstColumn="0" w:lastColumn="0" w:noHBand="0" w:noVBand="0"/>
      </w:tblPr>
      <w:tblGrid>
        <w:gridCol w:w="384"/>
        <w:gridCol w:w="863"/>
        <w:gridCol w:w="8391"/>
      </w:tblGrid>
      <w:tr w:rsidR="00DF69DB">
        <w:tc>
          <w:tcPr>
            <w:tcW w:w="384" w:type="dxa"/>
          </w:tcPr>
          <w:p w:rsidR="00DF69DB" w:rsidRDefault="00DF69DB">
            <w:pPr>
              <w:numPr>
                <w:ilvl w:val="0"/>
                <w:numId w:val="3"/>
              </w:numPr>
              <w:ind w:left="737" w:right="227" w:hanging="680"/>
            </w:pPr>
          </w:p>
        </w:tc>
        <w:tc>
          <w:tcPr>
            <w:tcW w:w="863" w:type="dxa"/>
          </w:tcPr>
          <w:p w:rsidR="00DF69DB" w:rsidRDefault="00DB63C3">
            <w:r>
              <w:rPr>
                <w:noProof/>
                <w:lang w:eastAsia="fr-FR" w:bidi="ar-SA"/>
              </w:rPr>
              <w:drawing>
                <wp:anchor distT="0" distB="0" distL="0" distR="0" simplePos="0" relativeHeight="7" behindDoc="0" locked="0" layoutInCell="1" allowOverlap="1">
                  <wp:simplePos x="0" y="0"/>
                  <wp:positionH relativeFrom="column">
                    <wp:posOffset>47625</wp:posOffset>
                  </wp:positionH>
                  <wp:positionV relativeFrom="paragraph">
                    <wp:posOffset>77470</wp:posOffset>
                  </wp:positionV>
                  <wp:extent cx="472440" cy="445135"/>
                  <wp:effectExtent l="0" t="0" r="0" b="0"/>
                  <wp:wrapTopAndBottom/>
                  <wp:docPr id="6" name="Obra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6"/>
                          <pic:cNvPicPr>
                            <a:picLocks noChangeAspect="1" noChangeArrowheads="1"/>
                          </pic:cNvPicPr>
                        </pic:nvPicPr>
                        <pic:blipFill>
                          <a:blip r:embed="rId14"/>
                          <a:stretch>
                            <a:fillRect/>
                          </a:stretch>
                        </pic:blipFill>
                        <pic:spPr bwMode="auto">
                          <a:xfrm>
                            <a:off x="0" y="0"/>
                            <a:ext cx="472440" cy="445135"/>
                          </a:xfrm>
                          <a:prstGeom prst="rect">
                            <a:avLst/>
                          </a:prstGeom>
                        </pic:spPr>
                      </pic:pic>
                    </a:graphicData>
                  </a:graphic>
                </wp:anchor>
              </w:drawing>
            </w:r>
          </w:p>
        </w:tc>
        <w:tc>
          <w:tcPr>
            <w:tcW w:w="8391" w:type="dxa"/>
          </w:tcPr>
          <w:p w:rsidR="00DF69DB" w:rsidRDefault="00DB63C3" w:rsidP="00DB63C3">
            <w:pPr>
              <w:jc w:val="left"/>
            </w:pPr>
            <w:r>
              <w:t>Décisions stratégiques - ici, le joueur peut décider du type de production, de la répartition des bénéfices de l'activité, ainsi que changer la race des vaches et la taille du cheptel.</w:t>
            </w:r>
            <w:r>
              <w:br/>
              <w:t xml:space="preserve">Chaque fois que vous sélectionnez une action, vous pouvez vérifier sur le côté droit comment les indicateurs ont changé au fil des années en fonction de la décision que vous avez prise. </w:t>
            </w:r>
          </w:p>
        </w:tc>
      </w:tr>
      <w:tr w:rsidR="00DF69DB">
        <w:tc>
          <w:tcPr>
            <w:tcW w:w="384" w:type="dxa"/>
          </w:tcPr>
          <w:p w:rsidR="00DF69DB" w:rsidRDefault="00DF69DB">
            <w:pPr>
              <w:numPr>
                <w:ilvl w:val="0"/>
                <w:numId w:val="3"/>
              </w:numPr>
              <w:ind w:left="737" w:right="227" w:hanging="680"/>
            </w:pPr>
          </w:p>
        </w:tc>
        <w:tc>
          <w:tcPr>
            <w:tcW w:w="863" w:type="dxa"/>
          </w:tcPr>
          <w:p w:rsidR="00DF69DB" w:rsidRDefault="00DB63C3">
            <w:r>
              <w:rPr>
                <w:noProof/>
                <w:lang w:eastAsia="fr-FR" w:bidi="ar-SA"/>
              </w:rPr>
              <w:drawing>
                <wp:anchor distT="0" distB="0" distL="0" distR="0" simplePos="0" relativeHeight="8" behindDoc="0" locked="0" layoutInCell="1" allowOverlap="1">
                  <wp:simplePos x="0" y="0"/>
                  <wp:positionH relativeFrom="column">
                    <wp:align>center</wp:align>
                  </wp:positionH>
                  <wp:positionV relativeFrom="paragraph">
                    <wp:posOffset>635</wp:posOffset>
                  </wp:positionV>
                  <wp:extent cx="419100" cy="409575"/>
                  <wp:effectExtent l="0" t="0" r="0" b="0"/>
                  <wp:wrapTopAndBottom/>
                  <wp:docPr id="7"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7"/>
                          <pic:cNvPicPr>
                            <a:picLocks noChangeAspect="1" noChangeArrowheads="1"/>
                          </pic:cNvPicPr>
                        </pic:nvPicPr>
                        <pic:blipFill>
                          <a:blip r:embed="rId15"/>
                          <a:stretch>
                            <a:fillRect/>
                          </a:stretch>
                        </pic:blipFill>
                        <pic:spPr bwMode="auto">
                          <a:xfrm>
                            <a:off x="0" y="0"/>
                            <a:ext cx="419100" cy="409575"/>
                          </a:xfrm>
                          <a:prstGeom prst="rect">
                            <a:avLst/>
                          </a:prstGeom>
                        </pic:spPr>
                      </pic:pic>
                    </a:graphicData>
                  </a:graphic>
                </wp:anchor>
              </w:drawing>
            </w:r>
          </w:p>
        </w:tc>
        <w:tc>
          <w:tcPr>
            <w:tcW w:w="8391" w:type="dxa"/>
          </w:tcPr>
          <w:p w:rsidR="00DF69DB" w:rsidRDefault="00DB63C3">
            <w:r>
              <w:t>Gestion de l’utilisation des terres - dans cet onglet, vous pouvez sélectionner la rotation des cultures et le mode d’utilisation des zones vertes (permanentes et temporaires)</w:t>
            </w:r>
          </w:p>
        </w:tc>
      </w:tr>
      <w:tr w:rsidR="00DF69DB">
        <w:tc>
          <w:tcPr>
            <w:tcW w:w="384" w:type="dxa"/>
          </w:tcPr>
          <w:p w:rsidR="00DF69DB" w:rsidRDefault="00DF69DB">
            <w:pPr>
              <w:numPr>
                <w:ilvl w:val="0"/>
                <w:numId w:val="3"/>
              </w:numPr>
              <w:ind w:left="737" w:right="227" w:hanging="680"/>
            </w:pPr>
          </w:p>
        </w:tc>
        <w:tc>
          <w:tcPr>
            <w:tcW w:w="863" w:type="dxa"/>
          </w:tcPr>
          <w:p w:rsidR="00DF69DB" w:rsidRDefault="00DB63C3">
            <w:r>
              <w:rPr>
                <w:noProof/>
                <w:lang w:eastAsia="fr-FR" w:bidi="ar-SA"/>
              </w:rPr>
              <w:drawing>
                <wp:anchor distT="0" distB="0" distL="0" distR="0" simplePos="0" relativeHeight="9" behindDoc="0" locked="0" layoutInCell="1" allowOverlap="1">
                  <wp:simplePos x="0" y="0"/>
                  <wp:positionH relativeFrom="column">
                    <wp:align>center</wp:align>
                  </wp:positionH>
                  <wp:positionV relativeFrom="paragraph">
                    <wp:posOffset>635</wp:posOffset>
                  </wp:positionV>
                  <wp:extent cx="419100" cy="409575"/>
                  <wp:effectExtent l="0" t="0" r="0" b="0"/>
                  <wp:wrapTopAndBottom/>
                  <wp:docPr id="8" name="Obra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8"/>
                          <pic:cNvPicPr>
                            <a:picLocks noChangeAspect="1" noChangeArrowheads="1"/>
                          </pic:cNvPicPr>
                        </pic:nvPicPr>
                        <pic:blipFill>
                          <a:blip r:embed="rId16"/>
                          <a:stretch>
                            <a:fillRect/>
                          </a:stretch>
                        </pic:blipFill>
                        <pic:spPr bwMode="auto">
                          <a:xfrm>
                            <a:off x="0" y="0"/>
                            <a:ext cx="419100" cy="409575"/>
                          </a:xfrm>
                          <a:prstGeom prst="rect">
                            <a:avLst/>
                          </a:prstGeom>
                        </pic:spPr>
                      </pic:pic>
                    </a:graphicData>
                  </a:graphic>
                </wp:anchor>
              </w:drawing>
            </w:r>
          </w:p>
        </w:tc>
        <w:tc>
          <w:tcPr>
            <w:tcW w:w="8391" w:type="dxa"/>
          </w:tcPr>
          <w:p w:rsidR="00DF69DB" w:rsidRDefault="00DB63C3" w:rsidP="00DB63C3">
            <w:r>
              <w:t xml:space="preserve">Système d'alimentation - vous pouvez choisir ici un système d'alimentation pour les vaches et les génisses. Il faut garder à l'esprit que celui-ci doit être cohérent avec la production végétale réalisée (ces modifications peuvent donc également être apportées à cet endroit). </w:t>
            </w:r>
          </w:p>
        </w:tc>
      </w:tr>
      <w:tr w:rsidR="00DF69DB">
        <w:tc>
          <w:tcPr>
            <w:tcW w:w="384" w:type="dxa"/>
          </w:tcPr>
          <w:p w:rsidR="00DF69DB" w:rsidRDefault="00DF69DB">
            <w:pPr>
              <w:numPr>
                <w:ilvl w:val="0"/>
                <w:numId w:val="3"/>
              </w:numPr>
              <w:ind w:left="737" w:right="227" w:hanging="680"/>
            </w:pPr>
          </w:p>
        </w:tc>
        <w:tc>
          <w:tcPr>
            <w:tcW w:w="863" w:type="dxa"/>
          </w:tcPr>
          <w:p w:rsidR="00DF69DB" w:rsidRDefault="00DB63C3">
            <w:r>
              <w:rPr>
                <w:noProof/>
                <w:lang w:eastAsia="fr-FR" w:bidi="ar-SA"/>
              </w:rPr>
              <w:drawing>
                <wp:anchor distT="0" distB="0" distL="0" distR="0" simplePos="0" relativeHeight="10" behindDoc="0" locked="0" layoutInCell="1" allowOverlap="1">
                  <wp:simplePos x="0" y="0"/>
                  <wp:positionH relativeFrom="column">
                    <wp:align>center</wp:align>
                  </wp:positionH>
                  <wp:positionV relativeFrom="paragraph">
                    <wp:posOffset>635</wp:posOffset>
                  </wp:positionV>
                  <wp:extent cx="419100" cy="409575"/>
                  <wp:effectExtent l="0" t="0" r="0" b="0"/>
                  <wp:wrapSquare wrapText="largest"/>
                  <wp:docPr id="9" name="Obra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9"/>
                          <pic:cNvPicPr>
                            <a:picLocks noChangeAspect="1" noChangeArrowheads="1"/>
                          </pic:cNvPicPr>
                        </pic:nvPicPr>
                        <pic:blipFill>
                          <a:blip r:embed="rId17"/>
                          <a:stretch>
                            <a:fillRect/>
                          </a:stretch>
                        </pic:blipFill>
                        <pic:spPr bwMode="auto">
                          <a:xfrm>
                            <a:off x="0" y="0"/>
                            <a:ext cx="419100" cy="409575"/>
                          </a:xfrm>
                          <a:prstGeom prst="rect">
                            <a:avLst/>
                          </a:prstGeom>
                        </pic:spPr>
                      </pic:pic>
                    </a:graphicData>
                  </a:graphic>
                </wp:anchor>
              </w:drawing>
            </w:r>
          </w:p>
        </w:tc>
        <w:tc>
          <w:tcPr>
            <w:tcW w:w="8391" w:type="dxa"/>
          </w:tcPr>
          <w:p w:rsidR="00DF69DB" w:rsidRDefault="00DB63C3">
            <w:r>
              <w:t>Vaches - dans cet onglet, vous pouvez modifier le mode d'élevage et le système d'alimentation, introduire des aliments concentrés supplémentaires pour augmenter la production de lait et déterminer le mode de prévention des mammites.</w:t>
            </w:r>
          </w:p>
        </w:tc>
      </w:tr>
      <w:tr w:rsidR="00DF69DB">
        <w:tc>
          <w:tcPr>
            <w:tcW w:w="384" w:type="dxa"/>
          </w:tcPr>
          <w:p w:rsidR="00DF69DB" w:rsidRDefault="00DF69DB">
            <w:pPr>
              <w:numPr>
                <w:ilvl w:val="0"/>
                <w:numId w:val="3"/>
              </w:numPr>
              <w:ind w:left="737" w:right="227" w:hanging="680"/>
            </w:pPr>
          </w:p>
        </w:tc>
        <w:tc>
          <w:tcPr>
            <w:tcW w:w="863" w:type="dxa"/>
          </w:tcPr>
          <w:p w:rsidR="00DF69DB" w:rsidRDefault="00DB63C3">
            <w:r>
              <w:rPr>
                <w:noProof/>
                <w:lang w:eastAsia="fr-FR" w:bidi="ar-SA"/>
              </w:rPr>
              <w:drawing>
                <wp:anchor distT="0" distB="0" distL="0" distR="0" simplePos="0" relativeHeight="11" behindDoc="0" locked="0" layoutInCell="1" allowOverlap="1">
                  <wp:simplePos x="0" y="0"/>
                  <wp:positionH relativeFrom="column">
                    <wp:align>center</wp:align>
                  </wp:positionH>
                  <wp:positionV relativeFrom="paragraph">
                    <wp:posOffset>635</wp:posOffset>
                  </wp:positionV>
                  <wp:extent cx="419100" cy="409575"/>
                  <wp:effectExtent l="0" t="0" r="0" b="0"/>
                  <wp:wrapSquare wrapText="largest"/>
                  <wp:docPr id="10" name="Obra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10"/>
                          <pic:cNvPicPr>
                            <a:picLocks noChangeAspect="1" noChangeArrowheads="1"/>
                          </pic:cNvPicPr>
                        </pic:nvPicPr>
                        <pic:blipFill>
                          <a:blip r:embed="rId18"/>
                          <a:stretch>
                            <a:fillRect/>
                          </a:stretch>
                        </pic:blipFill>
                        <pic:spPr bwMode="auto">
                          <a:xfrm>
                            <a:off x="0" y="0"/>
                            <a:ext cx="419100" cy="409575"/>
                          </a:xfrm>
                          <a:prstGeom prst="rect">
                            <a:avLst/>
                          </a:prstGeom>
                        </pic:spPr>
                      </pic:pic>
                    </a:graphicData>
                  </a:graphic>
                </wp:anchor>
              </w:drawing>
            </w:r>
          </w:p>
        </w:tc>
        <w:tc>
          <w:tcPr>
            <w:tcW w:w="8391" w:type="dxa"/>
          </w:tcPr>
          <w:p w:rsidR="00DF69DB" w:rsidRDefault="00DB63C3" w:rsidP="00DB63C3">
            <w:r>
              <w:t>Gestion des sols - ici, vous pouvez déterminer la manière dont le sol est travaillé et comment la paille est utilisée</w:t>
            </w:r>
          </w:p>
        </w:tc>
      </w:tr>
      <w:tr w:rsidR="00DF69DB">
        <w:tc>
          <w:tcPr>
            <w:tcW w:w="384" w:type="dxa"/>
          </w:tcPr>
          <w:p w:rsidR="00DF69DB" w:rsidRDefault="00DF69DB">
            <w:pPr>
              <w:numPr>
                <w:ilvl w:val="0"/>
                <w:numId w:val="3"/>
              </w:numPr>
              <w:ind w:left="737" w:right="227" w:hanging="680"/>
            </w:pPr>
          </w:p>
        </w:tc>
        <w:tc>
          <w:tcPr>
            <w:tcW w:w="863" w:type="dxa"/>
          </w:tcPr>
          <w:p w:rsidR="00DF69DB" w:rsidRDefault="00DB63C3">
            <w:r>
              <w:rPr>
                <w:noProof/>
                <w:lang w:eastAsia="fr-FR" w:bidi="ar-SA"/>
              </w:rPr>
              <w:drawing>
                <wp:anchor distT="0" distB="0" distL="0" distR="0" simplePos="0" relativeHeight="12" behindDoc="0" locked="0" layoutInCell="1" allowOverlap="1">
                  <wp:simplePos x="0" y="0"/>
                  <wp:positionH relativeFrom="column">
                    <wp:align>center</wp:align>
                  </wp:positionH>
                  <wp:positionV relativeFrom="paragraph">
                    <wp:posOffset>635</wp:posOffset>
                  </wp:positionV>
                  <wp:extent cx="419100" cy="409575"/>
                  <wp:effectExtent l="0" t="0" r="0" b="0"/>
                  <wp:wrapSquare wrapText="largest"/>
                  <wp:docPr id="11" name="Obra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11"/>
                          <pic:cNvPicPr>
                            <a:picLocks noChangeAspect="1" noChangeArrowheads="1"/>
                          </pic:cNvPicPr>
                        </pic:nvPicPr>
                        <pic:blipFill>
                          <a:blip r:embed="rId19"/>
                          <a:stretch>
                            <a:fillRect/>
                          </a:stretch>
                        </pic:blipFill>
                        <pic:spPr bwMode="auto">
                          <a:xfrm>
                            <a:off x="0" y="0"/>
                            <a:ext cx="419100" cy="409575"/>
                          </a:xfrm>
                          <a:prstGeom prst="rect">
                            <a:avLst/>
                          </a:prstGeom>
                        </pic:spPr>
                      </pic:pic>
                    </a:graphicData>
                  </a:graphic>
                </wp:anchor>
              </w:drawing>
            </w:r>
          </w:p>
        </w:tc>
        <w:tc>
          <w:tcPr>
            <w:tcW w:w="8391" w:type="dxa"/>
          </w:tcPr>
          <w:p w:rsidR="00DF69DB" w:rsidRDefault="00DB63C3">
            <w:r>
              <w:t>Gestion de la production végétale - à cet endroit, vous déterminez le mode de fertilisation, le niveau de protection chimique des plantes et d'autres paramètres affectant la production végétale</w:t>
            </w:r>
          </w:p>
        </w:tc>
      </w:tr>
      <w:tr w:rsidR="00DF69DB">
        <w:tc>
          <w:tcPr>
            <w:tcW w:w="384" w:type="dxa"/>
          </w:tcPr>
          <w:p w:rsidR="00DF69DB" w:rsidRDefault="00DF69DB">
            <w:pPr>
              <w:numPr>
                <w:ilvl w:val="0"/>
                <w:numId w:val="3"/>
              </w:numPr>
              <w:ind w:left="737" w:right="227" w:hanging="680"/>
            </w:pPr>
          </w:p>
        </w:tc>
        <w:tc>
          <w:tcPr>
            <w:tcW w:w="863" w:type="dxa"/>
          </w:tcPr>
          <w:p w:rsidR="00DF69DB" w:rsidRDefault="00DB63C3">
            <w:r>
              <w:rPr>
                <w:noProof/>
                <w:lang w:eastAsia="fr-FR" w:bidi="ar-SA"/>
              </w:rPr>
              <w:drawing>
                <wp:anchor distT="0" distB="0" distL="0" distR="0" simplePos="0" relativeHeight="13" behindDoc="0" locked="0" layoutInCell="1" allowOverlap="1">
                  <wp:simplePos x="0" y="0"/>
                  <wp:positionH relativeFrom="column">
                    <wp:align>center</wp:align>
                  </wp:positionH>
                  <wp:positionV relativeFrom="paragraph">
                    <wp:posOffset>635</wp:posOffset>
                  </wp:positionV>
                  <wp:extent cx="419100" cy="409575"/>
                  <wp:effectExtent l="0" t="0" r="0" b="0"/>
                  <wp:wrapSquare wrapText="largest"/>
                  <wp:docPr id="12" name="Obraz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12"/>
                          <pic:cNvPicPr>
                            <a:picLocks noChangeAspect="1" noChangeArrowheads="1"/>
                          </pic:cNvPicPr>
                        </pic:nvPicPr>
                        <pic:blipFill>
                          <a:blip r:embed="rId20"/>
                          <a:stretch>
                            <a:fillRect/>
                          </a:stretch>
                        </pic:blipFill>
                        <pic:spPr bwMode="auto">
                          <a:xfrm>
                            <a:off x="0" y="0"/>
                            <a:ext cx="419100" cy="409575"/>
                          </a:xfrm>
                          <a:prstGeom prst="rect">
                            <a:avLst/>
                          </a:prstGeom>
                        </pic:spPr>
                      </pic:pic>
                    </a:graphicData>
                  </a:graphic>
                </wp:anchor>
              </w:drawing>
            </w:r>
          </w:p>
        </w:tc>
        <w:tc>
          <w:tcPr>
            <w:tcW w:w="8391" w:type="dxa"/>
          </w:tcPr>
          <w:p w:rsidR="00DF69DB" w:rsidRDefault="00DB63C3">
            <w:r>
              <w:t xml:space="preserve">Gestion du paysage - ici, vous pouvez déterminer le type d'infrastructure verte et de boisement. </w:t>
            </w:r>
          </w:p>
        </w:tc>
      </w:tr>
      <w:tr w:rsidR="00DF69DB">
        <w:tc>
          <w:tcPr>
            <w:tcW w:w="384" w:type="dxa"/>
          </w:tcPr>
          <w:p w:rsidR="00DF69DB" w:rsidRDefault="00DF69DB">
            <w:pPr>
              <w:numPr>
                <w:ilvl w:val="0"/>
                <w:numId w:val="3"/>
              </w:numPr>
              <w:ind w:left="737" w:right="227" w:hanging="680"/>
            </w:pPr>
          </w:p>
        </w:tc>
        <w:tc>
          <w:tcPr>
            <w:tcW w:w="863" w:type="dxa"/>
          </w:tcPr>
          <w:p w:rsidR="00DF69DB" w:rsidRDefault="00DB63C3">
            <w:r>
              <w:rPr>
                <w:noProof/>
                <w:lang w:eastAsia="fr-FR" w:bidi="ar-SA"/>
              </w:rPr>
              <w:drawing>
                <wp:anchor distT="0" distB="0" distL="0" distR="0" simplePos="0" relativeHeight="14" behindDoc="0" locked="0" layoutInCell="1" allowOverlap="1">
                  <wp:simplePos x="0" y="0"/>
                  <wp:positionH relativeFrom="column">
                    <wp:align>center</wp:align>
                  </wp:positionH>
                  <wp:positionV relativeFrom="paragraph">
                    <wp:posOffset>635</wp:posOffset>
                  </wp:positionV>
                  <wp:extent cx="419100" cy="409575"/>
                  <wp:effectExtent l="0" t="0" r="0" b="0"/>
                  <wp:wrapSquare wrapText="largest"/>
                  <wp:docPr id="13" name="Obra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13"/>
                          <pic:cNvPicPr>
                            <a:picLocks noChangeAspect="1" noChangeArrowheads="1"/>
                          </pic:cNvPicPr>
                        </pic:nvPicPr>
                        <pic:blipFill>
                          <a:blip r:embed="rId21"/>
                          <a:stretch>
                            <a:fillRect/>
                          </a:stretch>
                        </pic:blipFill>
                        <pic:spPr bwMode="auto">
                          <a:xfrm>
                            <a:off x="0" y="0"/>
                            <a:ext cx="419100" cy="409575"/>
                          </a:xfrm>
                          <a:prstGeom prst="rect">
                            <a:avLst/>
                          </a:prstGeom>
                        </pic:spPr>
                      </pic:pic>
                    </a:graphicData>
                  </a:graphic>
                </wp:anchor>
              </w:drawing>
            </w:r>
          </w:p>
        </w:tc>
        <w:tc>
          <w:tcPr>
            <w:tcW w:w="8391" w:type="dxa"/>
          </w:tcPr>
          <w:p w:rsidR="00DF69DB" w:rsidRDefault="00DB63C3">
            <w:r>
              <w:t>Génisses et bœufs - à cet endroit, vous pouvez modifier le système d'élevage des génisses et des bouvillons, leur système d'alimentation et la façon dont ces groupes d’animaux sont gérés.</w:t>
            </w:r>
          </w:p>
        </w:tc>
      </w:tr>
      <w:tr w:rsidR="00DF69DB">
        <w:tc>
          <w:tcPr>
            <w:tcW w:w="384" w:type="dxa"/>
          </w:tcPr>
          <w:p w:rsidR="00DF69DB" w:rsidRDefault="00DF69DB">
            <w:pPr>
              <w:numPr>
                <w:ilvl w:val="0"/>
                <w:numId w:val="3"/>
              </w:numPr>
              <w:ind w:left="737" w:right="227" w:hanging="680"/>
            </w:pPr>
          </w:p>
        </w:tc>
        <w:tc>
          <w:tcPr>
            <w:tcW w:w="863" w:type="dxa"/>
          </w:tcPr>
          <w:p w:rsidR="00DF69DB" w:rsidRDefault="00DB63C3">
            <w:r>
              <w:rPr>
                <w:noProof/>
                <w:lang w:eastAsia="fr-FR" w:bidi="ar-SA"/>
              </w:rPr>
              <w:drawing>
                <wp:anchor distT="0" distB="0" distL="0" distR="0" simplePos="0" relativeHeight="15" behindDoc="0" locked="0" layoutInCell="1" allowOverlap="1">
                  <wp:simplePos x="0" y="0"/>
                  <wp:positionH relativeFrom="column">
                    <wp:align>center</wp:align>
                  </wp:positionH>
                  <wp:positionV relativeFrom="paragraph">
                    <wp:posOffset>635</wp:posOffset>
                  </wp:positionV>
                  <wp:extent cx="419100" cy="409575"/>
                  <wp:effectExtent l="0" t="0" r="0" b="0"/>
                  <wp:wrapSquare wrapText="largest"/>
                  <wp:docPr id="14" name="Obraz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14"/>
                          <pic:cNvPicPr>
                            <a:picLocks noChangeAspect="1" noChangeArrowheads="1"/>
                          </pic:cNvPicPr>
                        </pic:nvPicPr>
                        <pic:blipFill>
                          <a:blip r:embed="rId22"/>
                          <a:stretch>
                            <a:fillRect/>
                          </a:stretch>
                        </pic:blipFill>
                        <pic:spPr bwMode="auto">
                          <a:xfrm>
                            <a:off x="0" y="0"/>
                            <a:ext cx="419100" cy="409575"/>
                          </a:xfrm>
                          <a:prstGeom prst="rect">
                            <a:avLst/>
                          </a:prstGeom>
                        </pic:spPr>
                      </pic:pic>
                    </a:graphicData>
                  </a:graphic>
                </wp:anchor>
              </w:drawing>
            </w:r>
          </w:p>
        </w:tc>
        <w:tc>
          <w:tcPr>
            <w:tcW w:w="8391" w:type="dxa"/>
          </w:tcPr>
          <w:p w:rsidR="00DF69DB" w:rsidRDefault="00DB63C3">
            <w:r>
              <w:t>Fertilisation - ici, vous pouvez modifier le mode de fertilisation et la production de fumier en fonction de la manière dont vous élevez vos animaux.</w:t>
            </w:r>
          </w:p>
        </w:tc>
      </w:tr>
      <w:tr w:rsidR="00DF69DB">
        <w:tc>
          <w:tcPr>
            <w:tcW w:w="384" w:type="dxa"/>
          </w:tcPr>
          <w:p w:rsidR="00DF69DB" w:rsidRDefault="00DF69DB">
            <w:pPr>
              <w:numPr>
                <w:ilvl w:val="0"/>
                <w:numId w:val="3"/>
              </w:numPr>
              <w:ind w:left="737" w:right="227" w:hanging="680"/>
            </w:pPr>
          </w:p>
        </w:tc>
        <w:tc>
          <w:tcPr>
            <w:tcW w:w="863" w:type="dxa"/>
          </w:tcPr>
          <w:p w:rsidR="00DF69DB" w:rsidRDefault="00DB63C3">
            <w:r>
              <w:rPr>
                <w:noProof/>
                <w:lang w:eastAsia="fr-FR" w:bidi="ar-SA"/>
              </w:rPr>
              <w:drawing>
                <wp:anchor distT="0" distB="0" distL="0" distR="0" simplePos="0" relativeHeight="16" behindDoc="0" locked="0" layoutInCell="1" allowOverlap="1">
                  <wp:simplePos x="0" y="0"/>
                  <wp:positionH relativeFrom="column">
                    <wp:align>center</wp:align>
                  </wp:positionH>
                  <wp:positionV relativeFrom="paragraph">
                    <wp:posOffset>635</wp:posOffset>
                  </wp:positionV>
                  <wp:extent cx="419100" cy="409575"/>
                  <wp:effectExtent l="0" t="0" r="0" b="0"/>
                  <wp:wrapSquare wrapText="largest"/>
                  <wp:docPr id="15" name="Obraz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15"/>
                          <pic:cNvPicPr>
                            <a:picLocks noChangeAspect="1" noChangeArrowheads="1"/>
                          </pic:cNvPicPr>
                        </pic:nvPicPr>
                        <pic:blipFill>
                          <a:blip r:embed="rId23"/>
                          <a:stretch>
                            <a:fillRect/>
                          </a:stretch>
                        </pic:blipFill>
                        <pic:spPr bwMode="auto">
                          <a:xfrm>
                            <a:off x="0" y="0"/>
                            <a:ext cx="419100" cy="409575"/>
                          </a:xfrm>
                          <a:prstGeom prst="rect">
                            <a:avLst/>
                          </a:prstGeom>
                        </pic:spPr>
                      </pic:pic>
                    </a:graphicData>
                  </a:graphic>
                </wp:anchor>
              </w:drawing>
            </w:r>
          </w:p>
        </w:tc>
        <w:tc>
          <w:tcPr>
            <w:tcW w:w="8391" w:type="dxa"/>
          </w:tcPr>
          <w:p w:rsidR="00DF69DB" w:rsidRDefault="00DB63C3">
            <w:r>
              <w:t>Entrepôt - ce dernier onglet ne permet pas d'introduire des modifications, mais c'est un endroit où l'on peut vérifier des indicateurs importants concernant la production de l'exploitation. Il s'agit notamment des bénéfices et des coûts, des subventions, des ventes de productions végétales et animales et de la charge de travail.</w:t>
            </w:r>
          </w:p>
        </w:tc>
      </w:tr>
    </w:tbl>
    <w:p w:rsidR="00DF69DB" w:rsidRDefault="00DB63C3">
      <w:r>
        <w:lastRenderedPageBreak/>
        <w:t>Cette interface permet d'introduire des changements dans le jeu de manière facile et intuitive, puis de vérifier les effets et d'analyser en détail les conséquences des décisions prises.</w:t>
      </w:r>
    </w:p>
    <w:p w:rsidR="00DF69DB" w:rsidRDefault="00DF69DB">
      <w:pPr>
        <w:pStyle w:val="Angielski"/>
      </w:pPr>
    </w:p>
    <w:p w:rsidR="00DF69DB" w:rsidRDefault="00DF69DB">
      <w:pPr>
        <w:pStyle w:val="Angielski"/>
        <w:ind w:left="283" w:hanging="283"/>
      </w:pPr>
    </w:p>
    <w:sectPr w:rsidR="00DF69DB">
      <w:pgSz w:w="11906" w:h="16838"/>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CF9" w:rsidRDefault="00CF4CF9" w:rsidP="00DD70D1">
      <w:pPr>
        <w:spacing w:line="240" w:lineRule="auto"/>
      </w:pPr>
      <w:r>
        <w:separator/>
      </w:r>
    </w:p>
  </w:endnote>
  <w:endnote w:type="continuationSeparator" w:id="0">
    <w:p w:rsidR="00CF4CF9" w:rsidRDefault="00CF4CF9" w:rsidP="00DD70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altName w:val="Liberation Mono"/>
    <w:panose1 w:val="00000400000000000000"/>
    <w:charset w:val="00"/>
    <w:family w:val="roman"/>
    <w:pitch w:val="variable"/>
    <w:sig w:usb0="00000003" w:usb1="00000000" w:usb2="00000000" w:usb3="00000000" w:csb0="00000001"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CF9" w:rsidRDefault="00CF4CF9" w:rsidP="00DD70D1">
      <w:pPr>
        <w:spacing w:line="240" w:lineRule="auto"/>
      </w:pPr>
      <w:r>
        <w:separator/>
      </w:r>
    </w:p>
  </w:footnote>
  <w:footnote w:type="continuationSeparator" w:id="0">
    <w:p w:rsidR="00CF4CF9" w:rsidRDefault="00CF4CF9" w:rsidP="00DD70D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B53A8"/>
    <w:multiLevelType w:val="multilevel"/>
    <w:tmpl w:val="42DC495C"/>
    <w:lvl w:ilvl="0">
      <w:start w:val="1"/>
      <w:numFmt w:val="none"/>
      <w:pStyle w:val="Titre1"/>
      <w:suff w:val="nothing"/>
      <w:lvlText w:val=""/>
      <w:lvlJc w:val="left"/>
      <w:pPr>
        <w:ind w:left="0" w:firstLine="0"/>
      </w:pPr>
    </w:lvl>
    <w:lvl w:ilvl="1">
      <w:start w:val="1"/>
      <w:numFmt w:val="none"/>
      <w:pStyle w:val="Titre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DBC7C8A"/>
    <w:multiLevelType w:val="multilevel"/>
    <w:tmpl w:val="13700D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68F9608B"/>
    <w:multiLevelType w:val="multilevel"/>
    <w:tmpl w:val="FCEA3CC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643"/>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9DB"/>
    <w:rsid w:val="002A46BB"/>
    <w:rsid w:val="004A0108"/>
    <w:rsid w:val="00CF4CF9"/>
    <w:rsid w:val="00DB63C3"/>
    <w:rsid w:val="00DD70D1"/>
    <w:rsid w:val="00DF69DB"/>
    <w:rsid w:val="00E4635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Mangal"/>
        <w:kern w:val="2"/>
        <w:szCs w:val="24"/>
        <w:lang w:val="fr-F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jc w:val="both"/>
    </w:pPr>
    <w:rPr>
      <w:sz w:val="24"/>
    </w:rPr>
  </w:style>
  <w:style w:type="paragraph" w:styleId="Titre1">
    <w:name w:val="heading 1"/>
    <w:basedOn w:val="Nagwek1"/>
    <w:next w:val="Corpsdetexte"/>
    <w:qFormat/>
    <w:pPr>
      <w:numPr>
        <w:numId w:val="1"/>
      </w:numPr>
      <w:outlineLvl w:val="0"/>
    </w:pPr>
    <w:rPr>
      <w:b/>
      <w:bCs/>
      <w:sz w:val="36"/>
      <w:szCs w:val="36"/>
    </w:rPr>
  </w:style>
  <w:style w:type="paragraph" w:styleId="Titre2">
    <w:name w:val="heading 2"/>
    <w:basedOn w:val="Nagwek1"/>
    <w:next w:val="Corpsdetexte"/>
    <w:qFormat/>
    <w:pPr>
      <w:numPr>
        <w:ilvl w:val="1"/>
        <w:numId w:val="1"/>
      </w:numPr>
      <w:spacing w:before="200"/>
      <w:outlineLvl w:val="1"/>
    </w:pPr>
    <w:rPr>
      <w:b/>
      <w:bC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Znakinumeracji">
    <w:name w:val="Znaki numeracji"/>
    <w:qFormat/>
  </w:style>
  <w:style w:type="character" w:customStyle="1" w:styleId="Znakiprzypiswdolnych">
    <w:name w:val="Znaki przypisów dolnych"/>
    <w:qFormat/>
  </w:style>
  <w:style w:type="character" w:customStyle="1" w:styleId="Zakotwiczenieprzypisudolnego">
    <w:name w:val="Zakotwiczenie przypisu dolnego"/>
    <w:rPr>
      <w:vertAlign w:val="superscript"/>
    </w:rPr>
  </w:style>
  <w:style w:type="character" w:customStyle="1" w:styleId="Znakiprzypiswkocowych">
    <w:name w:val="Znaki przypisów końcowych"/>
    <w:qFormat/>
  </w:style>
  <w:style w:type="character" w:customStyle="1" w:styleId="Zakotwiczenieprzypisukocowego">
    <w:name w:val="Zakotwiczenie przypisu końcowego"/>
    <w:rPr>
      <w:vertAlign w:val="superscript"/>
    </w:rPr>
  </w:style>
  <w:style w:type="character" w:customStyle="1" w:styleId="czeinternetowe">
    <w:name w:val="Łącze internetowe"/>
    <w:rPr>
      <w:color w:val="000080"/>
      <w:u w:val="single"/>
      <w:lang w:val="fr-FR"/>
    </w:rPr>
  </w:style>
  <w:style w:type="character" w:customStyle="1" w:styleId="czeindeksu">
    <w:name w:val="Łącze indeksu"/>
    <w:qFormat/>
  </w:style>
  <w:style w:type="paragraph" w:customStyle="1" w:styleId="Nagwek1">
    <w:name w:val="Nagłówek1"/>
    <w:basedOn w:val="Normal"/>
    <w:next w:val="Corpsdetexte"/>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ks">
    <w:name w:val="Indeks"/>
    <w:basedOn w:val="Normal"/>
    <w:qFormat/>
    <w:pPr>
      <w:suppressLineNumbers/>
    </w:pPr>
  </w:style>
  <w:style w:type="paragraph" w:customStyle="1" w:styleId="Angielski">
    <w:name w:val="Angielski"/>
    <w:basedOn w:val="Normal"/>
    <w:qFormat/>
    <w:rPr>
      <w:color w:val="FF0000"/>
    </w:rPr>
  </w:style>
  <w:style w:type="paragraph" w:styleId="Titreindex">
    <w:name w:val="index heading"/>
    <w:basedOn w:val="Nagwek1"/>
    <w:pPr>
      <w:suppressLineNumbers/>
    </w:pPr>
    <w:rPr>
      <w:b/>
      <w:bCs/>
      <w:sz w:val="32"/>
      <w:szCs w:val="32"/>
    </w:rPr>
  </w:style>
  <w:style w:type="paragraph" w:styleId="TitreTR">
    <w:name w:val="toa heading"/>
    <w:basedOn w:val="Titreindex"/>
  </w:style>
  <w:style w:type="paragraph" w:styleId="TM1">
    <w:name w:val="toc 1"/>
    <w:basedOn w:val="Indeks"/>
    <w:uiPriority w:val="39"/>
    <w:pPr>
      <w:tabs>
        <w:tab w:val="right" w:leader="dot" w:pos="9638"/>
      </w:tabs>
    </w:pPr>
  </w:style>
  <w:style w:type="paragraph" w:styleId="TM2">
    <w:name w:val="toc 2"/>
    <w:basedOn w:val="Indeks"/>
    <w:uiPriority w:val="39"/>
    <w:pPr>
      <w:tabs>
        <w:tab w:val="right" w:leader="dot" w:pos="9355"/>
      </w:tabs>
      <w:ind w:left="283"/>
    </w:pPr>
  </w:style>
  <w:style w:type="paragraph" w:customStyle="1" w:styleId="Zawartotabeli">
    <w:name w:val="Zawartość tabeli"/>
    <w:basedOn w:val="Normal"/>
    <w:qFormat/>
    <w:pPr>
      <w:suppressLineNumbers/>
    </w:pPr>
  </w:style>
  <w:style w:type="paragraph" w:customStyle="1" w:styleId="Nagwektabeli">
    <w:name w:val="Nagłówek tabeli"/>
    <w:basedOn w:val="Zawartotabeli"/>
    <w:qFormat/>
    <w:pPr>
      <w:jc w:val="center"/>
    </w:pPr>
    <w:rPr>
      <w:b/>
      <w:bCs/>
    </w:rPr>
  </w:style>
  <w:style w:type="character" w:styleId="Lienhypertexte">
    <w:name w:val="Hyperlink"/>
    <w:basedOn w:val="Policepardfaut"/>
    <w:uiPriority w:val="99"/>
    <w:unhideWhenUsed/>
    <w:rsid w:val="004A0108"/>
    <w:rPr>
      <w:color w:val="0000FF" w:themeColor="hyperlink"/>
      <w:u w:val="single"/>
    </w:rPr>
  </w:style>
  <w:style w:type="paragraph" w:styleId="Textedebulles">
    <w:name w:val="Balloon Text"/>
    <w:basedOn w:val="Normal"/>
    <w:link w:val="TextedebullesCar"/>
    <w:uiPriority w:val="99"/>
    <w:semiHidden/>
    <w:unhideWhenUsed/>
    <w:rsid w:val="004A0108"/>
    <w:pPr>
      <w:spacing w:line="240" w:lineRule="auto"/>
    </w:pPr>
    <w:rPr>
      <w:rFonts w:ascii="Tahoma" w:hAnsi="Tahoma"/>
      <w:sz w:val="16"/>
      <w:szCs w:val="14"/>
    </w:rPr>
  </w:style>
  <w:style w:type="character" w:customStyle="1" w:styleId="TextedebullesCar">
    <w:name w:val="Texte de bulles Car"/>
    <w:basedOn w:val="Policepardfaut"/>
    <w:link w:val="Textedebulles"/>
    <w:uiPriority w:val="99"/>
    <w:semiHidden/>
    <w:rsid w:val="004A0108"/>
    <w:rPr>
      <w:rFonts w:ascii="Tahoma" w:hAnsi="Tahoma"/>
      <w:sz w:val="16"/>
      <w:szCs w:val="14"/>
    </w:rPr>
  </w:style>
  <w:style w:type="paragraph" w:styleId="En-tte">
    <w:name w:val="header"/>
    <w:basedOn w:val="Normal"/>
    <w:link w:val="En-tteCar"/>
    <w:uiPriority w:val="99"/>
    <w:unhideWhenUsed/>
    <w:rsid w:val="00DD70D1"/>
    <w:pPr>
      <w:tabs>
        <w:tab w:val="center" w:pos="4536"/>
        <w:tab w:val="right" w:pos="9072"/>
      </w:tabs>
      <w:spacing w:line="240" w:lineRule="auto"/>
    </w:pPr>
    <w:rPr>
      <w:szCs w:val="21"/>
    </w:rPr>
  </w:style>
  <w:style w:type="character" w:customStyle="1" w:styleId="En-tteCar">
    <w:name w:val="En-tête Car"/>
    <w:basedOn w:val="Policepardfaut"/>
    <w:link w:val="En-tte"/>
    <w:uiPriority w:val="99"/>
    <w:rsid w:val="00DD70D1"/>
    <w:rPr>
      <w:sz w:val="24"/>
      <w:szCs w:val="21"/>
    </w:rPr>
  </w:style>
  <w:style w:type="paragraph" w:styleId="Pieddepage">
    <w:name w:val="footer"/>
    <w:basedOn w:val="Normal"/>
    <w:link w:val="PieddepageCar"/>
    <w:uiPriority w:val="99"/>
    <w:unhideWhenUsed/>
    <w:rsid w:val="00DD70D1"/>
    <w:pPr>
      <w:tabs>
        <w:tab w:val="center" w:pos="4536"/>
        <w:tab w:val="right" w:pos="9072"/>
      </w:tabs>
      <w:spacing w:line="240" w:lineRule="auto"/>
    </w:pPr>
    <w:rPr>
      <w:szCs w:val="21"/>
    </w:rPr>
  </w:style>
  <w:style w:type="character" w:customStyle="1" w:styleId="PieddepageCar">
    <w:name w:val="Pied de page Car"/>
    <w:basedOn w:val="Policepardfaut"/>
    <w:link w:val="Pieddepage"/>
    <w:uiPriority w:val="99"/>
    <w:rsid w:val="00DD70D1"/>
    <w:rPr>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uccubus.cleverapps.io/livraison/segae/app/"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mc.wipie.ur.krakow.pl/segae/"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763</Words>
  <Characters>4197</Characters>
  <Application>Microsoft Office Word</Application>
  <DocSecurity>0</DocSecurity>
  <Lines>34</Lines>
  <Paragraphs>9</Paragraphs>
  <ScaleCrop>false</ScaleCrop>
  <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2020-12-14T15:00:00Z</dcterms:created>
  <dcterms:modified xsi:type="dcterms:W3CDTF">2020-12-14T15:00:00Z</dcterms:modified>
  <dc:language/>
</cp:coreProperties>
</file>