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16F62" w14:textId="33DF988D" w:rsidR="005A452A" w:rsidRDefault="00B104C6">
      <w:pPr>
        <w:pStyle w:val="Titre1"/>
      </w:pPr>
      <w:r>
        <w:t>Préconisations d’aménagement et de gestion de l’arboretum du campus de Rennes de l’institut agro Rennes-Angers</w:t>
      </w:r>
    </w:p>
    <w:p w14:paraId="23EC1A1D" w14:textId="77777777" w:rsidR="00E023F4" w:rsidRPr="00E023F4" w:rsidRDefault="00E023F4" w:rsidP="00E023F4">
      <w:pPr>
        <w:rPr>
          <w:lang w:eastAsia="fr-FR"/>
        </w:rPr>
      </w:pPr>
    </w:p>
    <w:p w14:paraId="3A2AF684" w14:textId="33B2898D" w:rsidR="005A452A" w:rsidRDefault="00B104C6">
      <w:pPr>
        <w:rPr>
          <w:lang w:eastAsia="fr-FR"/>
        </w:rPr>
      </w:pPr>
      <w:r>
        <w:rPr>
          <w:lang w:eastAsia="fr-FR"/>
        </w:rPr>
        <w:t>Problématique : Comment améliorer la communication et l’attractivité de l’arboretum tout en permettant un accroissement de la biodiversité ?</w:t>
      </w:r>
    </w:p>
    <w:p w14:paraId="6353B6D8" w14:textId="77777777" w:rsidR="00E023F4" w:rsidRDefault="00E023F4">
      <w:pPr>
        <w:rPr>
          <w:lang w:eastAsia="fr-FR"/>
        </w:rPr>
      </w:pPr>
    </w:p>
    <w:p w14:paraId="1D3FFFB8" w14:textId="1F9CF7A7" w:rsidR="005A452A" w:rsidRDefault="00B104C6">
      <w:pPr>
        <w:pStyle w:val="Titre2"/>
        <w:rPr>
          <w:lang w:eastAsia="fr-FR"/>
        </w:rPr>
      </w:pPr>
      <w:r>
        <w:rPr>
          <w:lang w:eastAsia="fr-FR"/>
        </w:rPr>
        <w:t>Des espaces différenciés avec une gestion particulière</w:t>
      </w:r>
    </w:p>
    <w:p w14:paraId="63D584CD" w14:textId="3B6180EE" w:rsidR="00A745AF" w:rsidRPr="00A745AF" w:rsidRDefault="00A745AF" w:rsidP="00A745AF">
      <w:pPr>
        <w:rPr>
          <w:lang w:eastAsia="fr-FR"/>
        </w:rPr>
      </w:pPr>
      <w:r>
        <w:rPr>
          <w:lang w:eastAsia="fr-FR"/>
        </w:rPr>
        <w:t>Une gestion par espaces différenciés permettrait d’éviter l’homogénéisation des habitats actuellement présente. Par une diversification des strates et des milieux, nous attendons une diversité taxonomique plus grande sur le campus.</w:t>
      </w:r>
    </w:p>
    <w:p w14:paraId="3B42008C" w14:textId="7F388E1D" w:rsidR="005A452A" w:rsidRDefault="00B104C6">
      <w:pPr>
        <w:rPr>
          <w:lang w:eastAsia="fr-FR"/>
        </w:rPr>
      </w:pPr>
      <w:r>
        <w:rPr>
          <w:lang w:eastAsia="fr-FR"/>
        </w:rPr>
        <w:t>Dans le souci de créer de véritables espaces différenciés un</w:t>
      </w:r>
      <w:r>
        <w:rPr>
          <w:lang w:eastAsia="fr-FR"/>
        </w:rPr>
        <w:t>e zone spécial plantation d’arbres de promotion a été délimitée de part et d’autre du chemin en copeaux qui longe les voies de chemin de fer (en violet opaque sur la carte). En plus de cette zone, une liste d’arbres résilients et adaptés au changement clim</w:t>
      </w:r>
      <w:r>
        <w:rPr>
          <w:lang w:eastAsia="fr-FR"/>
        </w:rPr>
        <w:t>atique a été proposée aux responsables de promotion.</w:t>
      </w:r>
    </w:p>
    <w:p w14:paraId="37B0E2D3" w14:textId="77777777" w:rsidR="00A745AF" w:rsidRDefault="00A745AF">
      <w:pPr>
        <w:rPr>
          <w:lang w:eastAsia="fr-FR"/>
        </w:rPr>
      </w:pPr>
    </w:p>
    <w:p w14:paraId="6E1BD85E" w14:textId="77777777" w:rsidR="005A452A" w:rsidRDefault="00B104C6">
      <w:pPr>
        <w:pStyle w:val="Titre3"/>
        <w:rPr>
          <w:lang w:eastAsia="fr-FR"/>
        </w:rPr>
      </w:pPr>
      <w:r>
        <w:rPr>
          <w:lang w:eastAsia="fr-FR"/>
        </w:rPr>
        <w:t>Les zones avec ajout d’arbustes ou ZAA</w:t>
      </w:r>
    </w:p>
    <w:p w14:paraId="3D48825D" w14:textId="269C0C8B" w:rsidR="005A452A" w:rsidRDefault="00B104C6">
      <w:pPr>
        <w:rPr>
          <w:lang w:eastAsia="fr-FR"/>
        </w:rPr>
      </w:pPr>
      <w:r>
        <w:rPr>
          <w:lang w:eastAsia="fr-FR"/>
        </w:rPr>
        <w:t>Dans un second temps, dans le but d’attirer plus de biodiversité, des zones plus « fermées » avec ajout d’une strate arbustive ont été pensées et des emplacements s</w:t>
      </w:r>
      <w:r>
        <w:rPr>
          <w:lang w:eastAsia="fr-FR"/>
        </w:rPr>
        <w:t>ont matérialisés en vert légèrement transparent sur la carte. A ce jour, 3 zones ont été imaginées. La première comprend les arbres 77 à 81, 83-89 et 61. La seconde comprend les arbres 113 à 115 et la dernière, la plus grande comprend les arbres 142-150, 1</w:t>
      </w:r>
      <w:r>
        <w:rPr>
          <w:lang w:eastAsia="fr-FR"/>
        </w:rPr>
        <w:t>71-178 et 157-160.</w:t>
      </w:r>
    </w:p>
    <w:p w14:paraId="6CE538AB" w14:textId="4B49943B" w:rsidR="00A745AF" w:rsidRDefault="00A745AF" w:rsidP="00A745AF">
      <w:pPr>
        <w:rPr>
          <w:lang w:eastAsia="fr-FR"/>
        </w:rPr>
      </w:pPr>
      <w:r>
        <w:rPr>
          <w:lang w:eastAsia="fr-FR"/>
        </w:rPr>
        <w:t>Avec l’ajout d’une strate arbustive, nous pouvons nous attendre à une occupation par des oiseaux nicheurs</w:t>
      </w:r>
      <w:r w:rsidR="00C500B7">
        <w:rPr>
          <w:lang w:eastAsia="fr-FR"/>
        </w:rPr>
        <w:t xml:space="preserve"> (Nicole, 2019)</w:t>
      </w:r>
      <w:r>
        <w:rPr>
          <w:lang w:eastAsia="fr-FR"/>
        </w:rPr>
        <w:t xml:space="preserve">, des </w:t>
      </w:r>
      <w:r w:rsidR="00826D5E">
        <w:rPr>
          <w:lang w:eastAsia="fr-FR"/>
        </w:rPr>
        <w:t>araignées, des carabidés</w:t>
      </w:r>
      <w:r w:rsidR="008E290E">
        <w:rPr>
          <w:lang w:eastAsia="fr-FR"/>
        </w:rPr>
        <w:t xml:space="preserve"> (Desbiens, 2010)</w:t>
      </w:r>
      <w:r>
        <w:rPr>
          <w:lang w:eastAsia="fr-FR"/>
        </w:rPr>
        <w:t>.</w:t>
      </w:r>
    </w:p>
    <w:p w14:paraId="4B9A016B" w14:textId="77777777" w:rsidR="00A745AF" w:rsidRDefault="00A745AF">
      <w:pPr>
        <w:rPr>
          <w:lang w:eastAsia="fr-FR"/>
        </w:rPr>
      </w:pPr>
    </w:p>
    <w:p w14:paraId="21BDF923" w14:textId="77777777" w:rsidR="005A452A" w:rsidRDefault="00B104C6">
      <w:pPr>
        <w:pStyle w:val="Titre3"/>
        <w:rPr>
          <w:lang w:eastAsia="fr-FR"/>
        </w:rPr>
      </w:pPr>
      <w:r>
        <w:rPr>
          <w:lang w:eastAsia="fr-FR"/>
        </w:rPr>
        <w:t>Les zones sans ajout d’arbustes ou ZSA</w:t>
      </w:r>
    </w:p>
    <w:p w14:paraId="100B74E8" w14:textId="645EE5B9" w:rsidR="005A452A" w:rsidRDefault="00B104C6">
      <w:pPr>
        <w:rPr>
          <w:lang w:eastAsia="fr-FR"/>
        </w:rPr>
      </w:pPr>
      <w:r>
        <w:rPr>
          <w:lang w:eastAsia="fr-FR"/>
        </w:rPr>
        <w:t>Un autre type de zones un peu similaire a été proposé, cette fois-ci sans ajout d’arbuste mais aussi fermé (en vert strié). Cinq zones ont été ainsi choisies. La première comprenant les arbres 56-58</w:t>
      </w:r>
      <w:r>
        <w:rPr>
          <w:lang w:eastAsia="fr-FR"/>
        </w:rPr>
        <w:t>, 60 et 65, la 2</w:t>
      </w:r>
      <w:r>
        <w:rPr>
          <w:vertAlign w:val="superscript"/>
          <w:lang w:eastAsia="fr-FR"/>
        </w:rPr>
        <w:t>nde</w:t>
      </w:r>
      <w:r>
        <w:rPr>
          <w:lang w:eastAsia="fr-FR"/>
        </w:rPr>
        <w:t>, les arbres 97 à 99, la 3</w:t>
      </w:r>
      <w:r>
        <w:rPr>
          <w:vertAlign w:val="superscript"/>
          <w:lang w:eastAsia="fr-FR"/>
        </w:rPr>
        <w:t>ème</w:t>
      </w:r>
      <w:r>
        <w:rPr>
          <w:lang w:eastAsia="fr-FR"/>
        </w:rPr>
        <w:t>, les arbres 119-120, 122-125, 129-133 et 203. Les deux dernières zones comptent les arbres 134-139 pour la première et les arbres 161-170, 156 et 201.</w:t>
      </w:r>
    </w:p>
    <w:p w14:paraId="0248C3A8" w14:textId="77777777" w:rsidR="00A745AF" w:rsidRDefault="00A745AF">
      <w:pPr>
        <w:rPr>
          <w:lang w:eastAsia="fr-FR"/>
        </w:rPr>
      </w:pPr>
    </w:p>
    <w:p w14:paraId="22909CCF" w14:textId="77777777" w:rsidR="005A452A" w:rsidRDefault="00B104C6">
      <w:pPr>
        <w:pStyle w:val="Titre3"/>
        <w:rPr>
          <w:lang w:eastAsia="fr-FR"/>
        </w:rPr>
      </w:pPr>
      <w:r>
        <w:rPr>
          <w:lang w:eastAsia="fr-FR"/>
        </w:rPr>
        <w:t xml:space="preserve">Des zones expérimentales, fauche sans export et zone de </w:t>
      </w:r>
      <w:r>
        <w:rPr>
          <w:lang w:eastAsia="fr-FR"/>
        </w:rPr>
        <w:t>libre évolution (ZLE)</w:t>
      </w:r>
    </w:p>
    <w:p w14:paraId="20DC7157" w14:textId="77777777" w:rsidR="005A452A" w:rsidRDefault="00B104C6">
      <w:pPr>
        <w:rPr>
          <w:lang w:eastAsia="fr-FR"/>
        </w:rPr>
      </w:pPr>
      <w:r>
        <w:rPr>
          <w:lang w:eastAsia="fr-FR"/>
        </w:rPr>
        <w:t>Afin de faire de l’arboretum un espace expérimental, une zone de libre évolution (en rose transparent) a été placée, jusqu’au parking au sud-ouest. Elle comprend les arbres 180 à 183. Et une zone de fauche sans export a été placée ent</w:t>
      </w:r>
      <w:r>
        <w:rPr>
          <w:lang w:eastAsia="fr-FR"/>
        </w:rPr>
        <w:t>re la ZLE et la ZAA (Zone Libre Evolution et Zone avec Ajout d’arbustes) afin de pouvoir effectuer des comparaisons de faune et de flore avec les espaces en fauche tardive avec export.</w:t>
      </w:r>
    </w:p>
    <w:p w14:paraId="43F4DCAA" w14:textId="3C86BD0D" w:rsidR="005A452A" w:rsidRDefault="00B104C6">
      <w:pPr>
        <w:rPr>
          <w:lang w:eastAsia="fr-FR"/>
        </w:rPr>
      </w:pPr>
      <w:r>
        <w:rPr>
          <w:lang w:eastAsia="fr-FR"/>
        </w:rPr>
        <w:lastRenderedPageBreak/>
        <w:t>Les zones dites « fermées » seront toujours accessibles au public et po</w:t>
      </w:r>
      <w:r>
        <w:rPr>
          <w:lang w:eastAsia="fr-FR"/>
        </w:rPr>
        <w:t>urront-être entretenues (dépôt de feuilles mortes…) contrairement à la zone de libre évolution qui sera interdite d’accès. Des arbres ont été proposés à l’abattage par l’entreprise AUBEPINE chargée du diagnostic sanitaire des arbres et par nous même pour p</w:t>
      </w:r>
      <w:r>
        <w:rPr>
          <w:lang w:eastAsia="fr-FR"/>
        </w:rPr>
        <w:t xml:space="preserve">ermettre une ouverture des milieux et un accroissement de la différenciation des espaces. Ces arbres ont été choisis car ne présentant pas de réel atout en termes de biodiversité (étoiles rouges et jaunes sur la carte) </w:t>
      </w:r>
    </w:p>
    <w:p w14:paraId="180F7E55" w14:textId="77777777" w:rsidR="00A745AF" w:rsidRDefault="00A745AF">
      <w:pPr>
        <w:rPr>
          <w:lang w:eastAsia="fr-FR"/>
        </w:rPr>
      </w:pPr>
    </w:p>
    <w:p w14:paraId="23C2393B" w14:textId="77777777" w:rsidR="005A452A" w:rsidRDefault="00B104C6">
      <w:pPr>
        <w:pStyle w:val="Titre2"/>
        <w:rPr>
          <w:lang w:eastAsia="fr-FR"/>
        </w:rPr>
      </w:pPr>
      <w:r>
        <w:rPr>
          <w:lang w:eastAsia="fr-FR"/>
        </w:rPr>
        <w:t>Côté attractivité</w:t>
      </w:r>
    </w:p>
    <w:p w14:paraId="6D1A4D3F" w14:textId="5E753DA0" w:rsidR="005A452A" w:rsidRDefault="00B104C6">
      <w:pPr>
        <w:rPr>
          <w:lang w:eastAsia="fr-FR"/>
        </w:rPr>
      </w:pPr>
      <w:r>
        <w:rPr>
          <w:lang w:eastAsia="fr-FR"/>
        </w:rPr>
        <w:t>Pour améliorer l’a</w:t>
      </w:r>
      <w:r>
        <w:rPr>
          <w:lang w:eastAsia="fr-FR"/>
        </w:rPr>
        <w:t>ttractivité de l’arboretum, des emplacements pour des cercles de rondins ont été proposés, en marron sur la carte, avec la mise en place de panneaux explicatifs à des endroits stratégiques de l’arboretum (collection de houx, arbre envahi</w:t>
      </w:r>
      <w:r>
        <w:rPr>
          <w:lang w:eastAsia="fr-FR"/>
        </w:rPr>
        <w:t xml:space="preserve"> par le lierre, ta</w:t>
      </w:r>
      <w:r>
        <w:rPr>
          <w:lang w:eastAsia="fr-FR"/>
        </w:rPr>
        <w:t>s de bois, arbres originaux du campus…) représentés avec des cercles blancs sur la carte. D’autres tables de pique-nique seront installées sur le campus et des chemins tondus seront tracés (</w:t>
      </w:r>
      <w:r w:rsidR="00F2355F">
        <w:rPr>
          <w:lang w:eastAsia="fr-FR"/>
        </w:rPr>
        <w:t xml:space="preserve">propositions </w:t>
      </w:r>
      <w:r>
        <w:rPr>
          <w:lang w:eastAsia="fr-FR"/>
        </w:rPr>
        <w:t xml:space="preserve">en pointillés orange sur la carte) pour permettre une circulation </w:t>
      </w:r>
      <w:r>
        <w:rPr>
          <w:lang w:eastAsia="fr-FR"/>
        </w:rPr>
        <w:t>le long des différentes zones énumérées précédemment et entre les différents espaces conviviaux.</w:t>
      </w:r>
    </w:p>
    <w:p w14:paraId="2512484C" w14:textId="13D40872" w:rsidR="005A452A" w:rsidRDefault="00B104C6">
      <w:pPr>
        <w:rPr>
          <w:lang w:eastAsia="fr-FR"/>
        </w:rPr>
      </w:pPr>
      <w:r>
        <w:rPr>
          <w:lang w:eastAsia="fr-FR"/>
        </w:rPr>
        <w:t>Ces aménagements permettront ainsi de créer une stratification, de diversifier le paysage et de créer un plus grand panel de micro</w:t>
      </w:r>
      <w:r w:rsidR="00A745AF">
        <w:rPr>
          <w:lang w:eastAsia="fr-FR"/>
        </w:rPr>
        <w:t>-</w:t>
      </w:r>
      <w:r>
        <w:rPr>
          <w:lang w:eastAsia="fr-FR"/>
        </w:rPr>
        <w:t xml:space="preserve">habitats tout en permettant </w:t>
      </w:r>
      <w:r>
        <w:rPr>
          <w:lang w:eastAsia="fr-FR"/>
        </w:rPr>
        <w:t>l’accès à l’arboretum et en améliorant l’attractivité de ce dernier.</w:t>
      </w:r>
    </w:p>
    <w:p w14:paraId="496C605A" w14:textId="77777777" w:rsidR="005A452A" w:rsidRDefault="005A452A">
      <w:pPr>
        <w:rPr>
          <w:lang w:eastAsia="fr-FR"/>
        </w:rPr>
      </w:pPr>
    </w:p>
    <w:tbl>
      <w:tblPr>
        <w:tblStyle w:val="Grilledutableau"/>
        <w:tblW w:w="0" w:type="auto"/>
        <w:tblLook w:val="04A0" w:firstRow="1" w:lastRow="0" w:firstColumn="1" w:lastColumn="0" w:noHBand="0" w:noVBand="1"/>
      </w:tblPr>
      <w:tblGrid>
        <w:gridCol w:w="1918"/>
        <w:gridCol w:w="1600"/>
        <w:gridCol w:w="1590"/>
        <w:gridCol w:w="1438"/>
        <w:gridCol w:w="1258"/>
        <w:gridCol w:w="1258"/>
      </w:tblGrid>
      <w:tr w:rsidR="005A452A" w14:paraId="1610C110" w14:textId="77777777">
        <w:tc>
          <w:tcPr>
            <w:tcW w:w="1918" w:type="dxa"/>
          </w:tcPr>
          <w:p w14:paraId="5DB9473E" w14:textId="77777777" w:rsidR="005A452A" w:rsidRDefault="00B104C6">
            <w:pPr>
              <w:jc w:val="center"/>
              <w:rPr>
                <w:lang w:eastAsia="fr-FR"/>
              </w:rPr>
            </w:pPr>
            <w:r>
              <w:rPr>
                <w:lang w:eastAsia="fr-FR"/>
              </w:rPr>
              <w:t>Type de zone</w:t>
            </w:r>
          </w:p>
        </w:tc>
        <w:tc>
          <w:tcPr>
            <w:tcW w:w="7144" w:type="dxa"/>
            <w:gridSpan w:val="5"/>
            <w:vAlign w:val="center"/>
          </w:tcPr>
          <w:p w14:paraId="27EEFA9A" w14:textId="77777777" w:rsidR="005A452A" w:rsidRDefault="00B104C6">
            <w:pPr>
              <w:jc w:val="center"/>
              <w:rPr>
                <w:lang w:eastAsia="fr-FR"/>
              </w:rPr>
            </w:pPr>
            <w:r>
              <w:rPr>
                <w:lang w:eastAsia="fr-FR"/>
              </w:rPr>
              <w:t>Numéro d’arbre</w:t>
            </w:r>
          </w:p>
        </w:tc>
      </w:tr>
      <w:tr w:rsidR="005A452A" w14:paraId="6B16D57F" w14:textId="77777777">
        <w:tc>
          <w:tcPr>
            <w:tcW w:w="1918" w:type="dxa"/>
          </w:tcPr>
          <w:p w14:paraId="1BCB317F" w14:textId="77777777" w:rsidR="005A452A" w:rsidRDefault="00B104C6">
            <w:pPr>
              <w:jc w:val="center"/>
              <w:rPr>
                <w:lang w:eastAsia="fr-FR"/>
              </w:rPr>
            </w:pPr>
            <w:r>
              <w:rPr>
                <w:lang w:eastAsia="fr-FR"/>
              </w:rPr>
              <w:t>Zones avec Ajout d’Arbustes (vert transparent)</w:t>
            </w:r>
          </w:p>
        </w:tc>
        <w:tc>
          <w:tcPr>
            <w:tcW w:w="1600" w:type="dxa"/>
          </w:tcPr>
          <w:p w14:paraId="5D368ED4" w14:textId="77777777" w:rsidR="005A452A" w:rsidRDefault="00B104C6">
            <w:pPr>
              <w:jc w:val="center"/>
              <w:rPr>
                <w:lang w:eastAsia="fr-FR"/>
              </w:rPr>
            </w:pPr>
            <w:r>
              <w:rPr>
                <w:lang w:eastAsia="fr-FR"/>
              </w:rPr>
              <w:t>77-81, 83-89 et 61</w:t>
            </w:r>
          </w:p>
        </w:tc>
        <w:tc>
          <w:tcPr>
            <w:tcW w:w="1590" w:type="dxa"/>
          </w:tcPr>
          <w:p w14:paraId="111255FA" w14:textId="77777777" w:rsidR="005A452A" w:rsidRDefault="00B104C6">
            <w:pPr>
              <w:jc w:val="center"/>
              <w:rPr>
                <w:lang w:eastAsia="fr-FR"/>
              </w:rPr>
            </w:pPr>
            <w:r>
              <w:rPr>
                <w:lang w:eastAsia="fr-FR"/>
              </w:rPr>
              <w:t>113-115</w:t>
            </w:r>
          </w:p>
        </w:tc>
        <w:tc>
          <w:tcPr>
            <w:tcW w:w="1438" w:type="dxa"/>
          </w:tcPr>
          <w:p w14:paraId="07790E12" w14:textId="77777777" w:rsidR="005A452A" w:rsidRDefault="00B104C6">
            <w:pPr>
              <w:jc w:val="center"/>
              <w:rPr>
                <w:lang w:eastAsia="fr-FR"/>
              </w:rPr>
            </w:pPr>
            <w:r>
              <w:rPr>
                <w:lang w:eastAsia="fr-FR"/>
              </w:rPr>
              <w:t>142-150, 171-178 et 157-160</w:t>
            </w:r>
          </w:p>
        </w:tc>
        <w:tc>
          <w:tcPr>
            <w:tcW w:w="2516" w:type="dxa"/>
            <w:gridSpan w:val="2"/>
            <w:shd w:val="clear" w:color="AEAAAA" w:fill="AEAAAA" w:themeFill="background2" w:themeFillShade="BF"/>
          </w:tcPr>
          <w:p w14:paraId="4A1D8F7F" w14:textId="77777777" w:rsidR="005A452A" w:rsidRDefault="005A452A">
            <w:pPr>
              <w:jc w:val="center"/>
              <w:rPr>
                <w:lang w:eastAsia="fr-FR"/>
              </w:rPr>
            </w:pPr>
          </w:p>
        </w:tc>
      </w:tr>
      <w:tr w:rsidR="005A452A" w14:paraId="0B5CC95C" w14:textId="77777777">
        <w:tc>
          <w:tcPr>
            <w:tcW w:w="1918" w:type="dxa"/>
          </w:tcPr>
          <w:p w14:paraId="66096B96" w14:textId="77777777" w:rsidR="005A452A" w:rsidRDefault="00B104C6">
            <w:pPr>
              <w:jc w:val="center"/>
              <w:rPr>
                <w:lang w:eastAsia="fr-FR"/>
              </w:rPr>
            </w:pPr>
            <w:r>
              <w:rPr>
                <w:lang w:eastAsia="fr-FR"/>
              </w:rPr>
              <w:t>Zones sans ajout d’arbustes (vert strié)</w:t>
            </w:r>
          </w:p>
        </w:tc>
        <w:tc>
          <w:tcPr>
            <w:tcW w:w="1600" w:type="dxa"/>
          </w:tcPr>
          <w:p w14:paraId="12713C7A" w14:textId="77777777" w:rsidR="005A452A" w:rsidRDefault="00B104C6">
            <w:pPr>
              <w:jc w:val="center"/>
              <w:rPr>
                <w:lang w:eastAsia="fr-FR"/>
              </w:rPr>
            </w:pPr>
            <w:r>
              <w:rPr>
                <w:lang w:eastAsia="fr-FR"/>
              </w:rPr>
              <w:t>56-58, 60 et 65</w:t>
            </w:r>
          </w:p>
        </w:tc>
        <w:tc>
          <w:tcPr>
            <w:tcW w:w="1590" w:type="dxa"/>
          </w:tcPr>
          <w:p w14:paraId="1D29C5C7" w14:textId="77777777" w:rsidR="005A452A" w:rsidRDefault="00B104C6">
            <w:pPr>
              <w:jc w:val="center"/>
              <w:rPr>
                <w:lang w:eastAsia="fr-FR"/>
              </w:rPr>
            </w:pPr>
            <w:r>
              <w:rPr>
                <w:lang w:eastAsia="fr-FR"/>
              </w:rPr>
              <w:t>97-99</w:t>
            </w:r>
          </w:p>
        </w:tc>
        <w:tc>
          <w:tcPr>
            <w:tcW w:w="1438" w:type="dxa"/>
          </w:tcPr>
          <w:p w14:paraId="66951245" w14:textId="77777777" w:rsidR="005A452A" w:rsidRDefault="00B104C6">
            <w:pPr>
              <w:jc w:val="center"/>
              <w:rPr>
                <w:lang w:eastAsia="fr-FR"/>
              </w:rPr>
            </w:pPr>
            <w:r>
              <w:rPr>
                <w:lang w:eastAsia="fr-FR"/>
              </w:rPr>
              <w:t>119-120, 122-125, 129-133 et 203</w:t>
            </w:r>
          </w:p>
        </w:tc>
        <w:tc>
          <w:tcPr>
            <w:tcW w:w="1258" w:type="dxa"/>
          </w:tcPr>
          <w:p w14:paraId="7FEADCFF" w14:textId="77777777" w:rsidR="005A452A" w:rsidRDefault="00B104C6">
            <w:pPr>
              <w:jc w:val="center"/>
              <w:rPr>
                <w:lang w:eastAsia="fr-FR"/>
              </w:rPr>
            </w:pPr>
            <w:r>
              <w:rPr>
                <w:lang w:eastAsia="fr-FR"/>
              </w:rPr>
              <w:t>134-139</w:t>
            </w:r>
          </w:p>
        </w:tc>
        <w:tc>
          <w:tcPr>
            <w:tcW w:w="1258" w:type="dxa"/>
          </w:tcPr>
          <w:p w14:paraId="702D0D1B" w14:textId="77777777" w:rsidR="005A452A" w:rsidRDefault="00B104C6">
            <w:pPr>
              <w:jc w:val="center"/>
              <w:rPr>
                <w:lang w:eastAsia="fr-FR"/>
              </w:rPr>
            </w:pPr>
            <w:r>
              <w:rPr>
                <w:lang w:eastAsia="fr-FR"/>
              </w:rPr>
              <w:t>161-170, 156 et 201</w:t>
            </w:r>
          </w:p>
        </w:tc>
      </w:tr>
      <w:tr w:rsidR="005A452A" w14:paraId="27F28238" w14:textId="77777777">
        <w:trPr>
          <w:trHeight w:val="578"/>
        </w:trPr>
        <w:tc>
          <w:tcPr>
            <w:tcW w:w="1918" w:type="dxa"/>
          </w:tcPr>
          <w:p w14:paraId="01A58E57" w14:textId="77777777" w:rsidR="005A452A" w:rsidRDefault="00B104C6">
            <w:pPr>
              <w:jc w:val="center"/>
              <w:rPr>
                <w:lang w:eastAsia="fr-FR"/>
              </w:rPr>
            </w:pPr>
            <w:r>
              <w:rPr>
                <w:lang w:eastAsia="fr-FR"/>
              </w:rPr>
              <w:t>Zone en Libre Evolution (rose transparent)</w:t>
            </w:r>
          </w:p>
        </w:tc>
        <w:tc>
          <w:tcPr>
            <w:tcW w:w="1600" w:type="dxa"/>
          </w:tcPr>
          <w:p w14:paraId="475250C2" w14:textId="77777777" w:rsidR="005A452A" w:rsidRDefault="00B104C6">
            <w:pPr>
              <w:jc w:val="center"/>
              <w:rPr>
                <w:lang w:eastAsia="fr-FR"/>
              </w:rPr>
            </w:pPr>
            <w:r>
              <w:rPr>
                <w:lang w:eastAsia="fr-FR"/>
              </w:rPr>
              <w:t>180-183</w:t>
            </w:r>
          </w:p>
        </w:tc>
        <w:tc>
          <w:tcPr>
            <w:tcW w:w="5544" w:type="dxa"/>
            <w:gridSpan w:val="4"/>
            <w:shd w:val="clear" w:color="AEAAAA" w:fill="AEAAAA" w:themeFill="background2" w:themeFillShade="BF"/>
          </w:tcPr>
          <w:p w14:paraId="3BF10250" w14:textId="77777777" w:rsidR="005A452A" w:rsidRDefault="005A452A">
            <w:pPr>
              <w:jc w:val="center"/>
              <w:rPr>
                <w:lang w:eastAsia="fr-FR"/>
              </w:rPr>
            </w:pPr>
          </w:p>
        </w:tc>
      </w:tr>
    </w:tbl>
    <w:p w14:paraId="1D7A58F1" w14:textId="377CFA94" w:rsidR="005A452A" w:rsidRDefault="00B104C6">
      <w:pPr>
        <w:rPr>
          <w:lang w:eastAsia="fr-FR"/>
        </w:rPr>
      </w:pPr>
      <w:r>
        <w:rPr>
          <w:lang w:eastAsia="fr-FR"/>
        </w:rPr>
        <w:t>Tableau récapitulatif des zones avec les arbres concern</w:t>
      </w:r>
      <w:r>
        <w:rPr>
          <w:lang w:eastAsia="fr-FR"/>
        </w:rPr>
        <w:t>és</w:t>
      </w:r>
    </w:p>
    <w:p w14:paraId="50A5DB07" w14:textId="05D07E87" w:rsidR="008E290E" w:rsidRDefault="008E290E">
      <w:pPr>
        <w:rPr>
          <w:lang w:eastAsia="fr-FR"/>
        </w:rPr>
      </w:pPr>
    </w:p>
    <w:p w14:paraId="2A92B27F" w14:textId="58D6877B" w:rsidR="008E290E" w:rsidRDefault="008E290E">
      <w:pPr>
        <w:rPr>
          <w:lang w:eastAsia="fr-FR"/>
        </w:rPr>
      </w:pPr>
    </w:p>
    <w:p w14:paraId="39184F41" w14:textId="60B6E3E1" w:rsidR="008E290E" w:rsidRDefault="008E290E">
      <w:pPr>
        <w:rPr>
          <w:lang w:eastAsia="fr-FR"/>
        </w:rPr>
      </w:pPr>
      <w:r>
        <w:rPr>
          <w:lang w:eastAsia="fr-FR"/>
        </w:rPr>
        <w:t>Desbiens P. (2010) Évaluation des populations de carabidés dans les haies brise-vent intégrant des arbustes porteurs de produits forestiers non ligneux. Mémoire. Université Laval Québec.</w:t>
      </w:r>
    </w:p>
    <w:p w14:paraId="63510D4C" w14:textId="2C7B11A9" w:rsidR="0010275D" w:rsidRPr="0010275D" w:rsidRDefault="0010275D">
      <w:pPr>
        <w:rPr>
          <w:rFonts w:cs="Times New Roman"/>
          <w:sz w:val="44"/>
          <w:szCs w:val="40"/>
          <w:lang w:eastAsia="fr-FR"/>
        </w:rPr>
      </w:pPr>
      <w:r w:rsidRPr="0010275D">
        <w:rPr>
          <w:rStyle w:val="markedcontent"/>
          <w:rFonts w:cs="Times New Roman"/>
          <w:szCs w:val="24"/>
        </w:rPr>
        <w:t>NICOLE, A.</w:t>
      </w:r>
      <w:r>
        <w:rPr>
          <w:rStyle w:val="markedcontent"/>
          <w:rFonts w:cs="Times New Roman"/>
          <w:szCs w:val="24"/>
        </w:rPr>
        <w:t>,</w:t>
      </w:r>
      <w:r w:rsidRPr="0010275D">
        <w:rPr>
          <w:rStyle w:val="markedcontent"/>
          <w:rFonts w:cs="Times New Roman"/>
          <w:szCs w:val="24"/>
        </w:rPr>
        <w:t xml:space="preserve"> DAUPHIN</w:t>
      </w:r>
      <w:r>
        <w:rPr>
          <w:rStyle w:val="markedcontent"/>
          <w:rFonts w:cs="Times New Roman"/>
          <w:szCs w:val="24"/>
        </w:rPr>
        <w:t xml:space="preserve"> D</w:t>
      </w:r>
      <w:r w:rsidRPr="0010275D">
        <w:rPr>
          <w:rStyle w:val="markedcontent"/>
          <w:rFonts w:cs="Times New Roman"/>
          <w:szCs w:val="24"/>
        </w:rPr>
        <w:t xml:space="preserve">. </w:t>
      </w:r>
      <w:r>
        <w:rPr>
          <w:rStyle w:val="markedcontent"/>
          <w:rFonts w:cs="Times New Roman"/>
          <w:szCs w:val="24"/>
        </w:rPr>
        <w:t>(</w:t>
      </w:r>
      <w:r w:rsidRPr="0010275D">
        <w:rPr>
          <w:rStyle w:val="markedcontent"/>
          <w:rFonts w:cs="Times New Roman"/>
          <w:szCs w:val="24"/>
        </w:rPr>
        <w:t>2019</w:t>
      </w:r>
      <w:r>
        <w:rPr>
          <w:rStyle w:val="markedcontent"/>
          <w:rFonts w:cs="Times New Roman"/>
          <w:szCs w:val="24"/>
        </w:rPr>
        <w:t>)</w:t>
      </w:r>
      <w:r w:rsidRPr="0010275D">
        <w:rPr>
          <w:rStyle w:val="markedcontent"/>
          <w:rFonts w:cs="Times New Roman"/>
          <w:szCs w:val="24"/>
        </w:rPr>
        <w:t xml:space="preserve"> Inventaires d’oiseaux (été</w:t>
      </w:r>
      <w:r>
        <w:rPr>
          <w:rStyle w:val="markedcontent"/>
          <w:rFonts w:cs="Times New Roman"/>
          <w:szCs w:val="24"/>
        </w:rPr>
        <w:t xml:space="preserve"> </w:t>
      </w:r>
      <w:r w:rsidRPr="0010275D">
        <w:rPr>
          <w:rStyle w:val="markedcontent"/>
          <w:rFonts w:cs="Times New Roman"/>
          <w:szCs w:val="24"/>
        </w:rPr>
        <w:t>2018) après restauration de trois</w:t>
      </w:r>
      <w:r w:rsidRPr="0010275D">
        <w:rPr>
          <w:rFonts w:cs="Times New Roman"/>
          <w:sz w:val="44"/>
          <w:szCs w:val="40"/>
        </w:rPr>
        <w:br/>
      </w:r>
      <w:r w:rsidRPr="0010275D">
        <w:rPr>
          <w:rStyle w:val="markedcontent"/>
          <w:rFonts w:cs="Times New Roman"/>
          <w:szCs w:val="24"/>
        </w:rPr>
        <w:t>cours d’eau et d’une parcelle agricole de la région du lac Saint-Pierre – Secteur de</w:t>
      </w:r>
      <w:r w:rsidRPr="0010275D">
        <w:rPr>
          <w:rFonts w:cs="Times New Roman"/>
          <w:sz w:val="44"/>
          <w:szCs w:val="40"/>
        </w:rPr>
        <w:br/>
      </w:r>
      <w:r w:rsidRPr="0010275D">
        <w:rPr>
          <w:rStyle w:val="markedcontent"/>
          <w:rFonts w:cs="Times New Roman"/>
          <w:szCs w:val="24"/>
        </w:rPr>
        <w:t>Baie-du-Febvre. Service canadien de la faune, Environnement et Changement climatique</w:t>
      </w:r>
      <w:r w:rsidRPr="0010275D">
        <w:rPr>
          <w:rFonts w:cs="Times New Roman"/>
          <w:sz w:val="44"/>
          <w:szCs w:val="40"/>
        </w:rPr>
        <w:br/>
      </w:r>
      <w:r w:rsidRPr="0010275D">
        <w:rPr>
          <w:rStyle w:val="markedcontent"/>
          <w:rFonts w:cs="Times New Roman"/>
          <w:szCs w:val="24"/>
        </w:rPr>
        <w:t>Canada, 26 p.</w:t>
      </w:r>
    </w:p>
    <w:sectPr w:rsidR="0010275D" w:rsidRPr="001027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6103" w14:textId="77777777" w:rsidR="00B104C6" w:rsidRDefault="00B104C6">
      <w:pPr>
        <w:spacing w:after="0" w:line="240" w:lineRule="auto"/>
      </w:pPr>
      <w:r>
        <w:separator/>
      </w:r>
    </w:p>
  </w:endnote>
  <w:endnote w:type="continuationSeparator" w:id="0">
    <w:p w14:paraId="24884576" w14:textId="77777777" w:rsidR="00B104C6" w:rsidRDefault="00B1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AF4D" w14:textId="77777777" w:rsidR="00B104C6" w:rsidRDefault="00B104C6">
      <w:pPr>
        <w:spacing w:after="0" w:line="240" w:lineRule="auto"/>
      </w:pPr>
      <w:r>
        <w:separator/>
      </w:r>
    </w:p>
  </w:footnote>
  <w:footnote w:type="continuationSeparator" w:id="0">
    <w:p w14:paraId="37477A83" w14:textId="77777777" w:rsidR="00B104C6" w:rsidRDefault="00B104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2A"/>
    <w:rsid w:val="0010275D"/>
    <w:rsid w:val="005A452A"/>
    <w:rsid w:val="00826D5E"/>
    <w:rsid w:val="008E290E"/>
    <w:rsid w:val="00A745AF"/>
    <w:rsid w:val="00A83B05"/>
    <w:rsid w:val="00B104C6"/>
    <w:rsid w:val="00C500B7"/>
    <w:rsid w:val="00E023F4"/>
    <w:rsid w:val="00F23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DA5B"/>
  <w15:docId w15:val="{9D6294AD-D479-4F8E-8454-270E9A2B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jc w:val="both"/>
    </w:pPr>
    <w:rPr>
      <w:rFonts w:ascii="Times New Roman" w:hAnsi="Times New Roman"/>
      <w:sz w:val="24"/>
    </w:rPr>
  </w:style>
  <w:style w:type="paragraph" w:styleId="Titre1">
    <w:name w:val="heading 1"/>
    <w:basedOn w:val="Normal"/>
    <w:next w:val="Normal"/>
    <w:link w:val="Titre1Car"/>
    <w:uiPriority w:val="9"/>
    <w:qFormat/>
    <w:pPr>
      <w:keepNext/>
      <w:keepLines/>
      <w:spacing w:before="240" w:after="0"/>
      <w:outlineLvl w:val="0"/>
    </w:pPr>
    <w:rPr>
      <w:rFonts w:eastAsia="Times New Roman" w:cs="Times New Roman"/>
      <w:color w:val="2F5496" w:themeColor="accent1" w:themeShade="BF"/>
      <w:sz w:val="32"/>
      <w:szCs w:val="32"/>
      <w:lang w:eastAsia="fr-FR"/>
    </w:rPr>
  </w:style>
  <w:style w:type="paragraph" w:styleId="Titre2">
    <w:name w:val="heading 2"/>
    <w:basedOn w:val="Normal"/>
    <w:next w:val="Normal"/>
    <w:link w:val="Titre2Car"/>
    <w:uiPriority w:val="9"/>
    <w:unhideWhenUsed/>
    <w:qFormat/>
    <w:pPr>
      <w:keepNext/>
      <w:keepLines/>
      <w:spacing w:before="40" w:after="0"/>
      <w:outlineLvl w:val="1"/>
    </w:pPr>
    <w:rPr>
      <w:rFonts w:eastAsia="Calibri Light" w:cs="Calibri Light"/>
      <w:color w:val="2F5496" w:themeColor="accent1" w:themeShade="BF"/>
      <w:sz w:val="28"/>
      <w:szCs w:val="26"/>
    </w:rPr>
  </w:style>
  <w:style w:type="paragraph" w:styleId="Titre3">
    <w:name w:val="heading 3"/>
    <w:basedOn w:val="Normal"/>
    <w:next w:val="Normal"/>
    <w:link w:val="Titre3Car"/>
    <w:uiPriority w:val="9"/>
    <w:unhideWhenUsed/>
    <w:qFormat/>
    <w:pPr>
      <w:keepNext/>
      <w:keepLines/>
      <w:spacing w:before="40" w:after="0"/>
      <w:outlineLvl w:val="2"/>
    </w:pPr>
    <w:rPr>
      <w:rFonts w:eastAsia="Calibri Light" w:cs="Calibri Light"/>
      <w:color w:val="1F3763" w:themeColor="accent1" w:themeShade="7F"/>
      <w:szCs w:val="24"/>
    </w:rPr>
  </w:style>
  <w:style w:type="paragraph" w:styleId="Titre4">
    <w:name w:val="heading 4"/>
    <w:basedOn w:val="Normal"/>
    <w:next w:val="Normal"/>
    <w:link w:val="Titre4Car"/>
    <w:uiPriority w:val="9"/>
    <w:unhideWhenUsed/>
    <w:qFormat/>
    <w:pPr>
      <w:keepNext/>
      <w:keepLines/>
      <w:spacing w:before="40" w:after="0"/>
      <w:outlineLvl w:val="3"/>
    </w:pPr>
    <w:rPr>
      <w:rFonts w:eastAsia="Calibri Light" w:cs="Calibri Light"/>
      <w:i/>
      <w:iCs/>
      <w:color w:val="2F5496" w:themeColor="accent1" w:themeShade="BF"/>
    </w:rPr>
  </w:style>
  <w:style w:type="paragraph" w:styleId="Titre5">
    <w:name w:val="heading 5"/>
    <w:basedOn w:val="Normal"/>
    <w:next w:val="Normal"/>
    <w:link w:val="Titre5Car"/>
    <w:uiPriority w:val="9"/>
    <w:unhideWhenUsed/>
    <w:qFormat/>
    <w:pPr>
      <w:keepNext/>
      <w:keepLines/>
      <w:spacing w:before="40" w:after="0"/>
      <w:outlineLvl w:val="4"/>
    </w:pPr>
    <w:rPr>
      <w:rFonts w:eastAsia="Calibri Light" w:cs="Calibri Light"/>
      <w:color w:val="2F5496"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eastAsia="Calibri Light" w:cs="Calibri Light"/>
      <w:color w:val="1F3763" w:themeColor="accent1" w:themeShade="7F"/>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uiPriority w:val="9"/>
    <w:rPr>
      <w:rFonts w:ascii="Times New Roman" w:eastAsia="Times New Roman" w:hAnsi="Times New Roman" w:cs="Times New Roman"/>
      <w:color w:val="2F5496" w:themeColor="accent1" w:themeShade="BF"/>
      <w:sz w:val="32"/>
      <w:szCs w:val="32"/>
      <w:lang w:eastAsia="fr-FR"/>
    </w:rPr>
  </w:style>
  <w:style w:type="character" w:customStyle="1" w:styleId="Titre2Car">
    <w:name w:val="Titre 2 Car"/>
    <w:basedOn w:val="Policepardfaut"/>
    <w:link w:val="Titre2"/>
    <w:uiPriority w:val="9"/>
    <w:rPr>
      <w:rFonts w:ascii="Times New Roman" w:eastAsia="Calibri Light" w:hAnsi="Times New Roman" w:cs="Calibri Light"/>
      <w:color w:val="2F5496" w:themeColor="accent1" w:themeShade="BF"/>
      <w:sz w:val="28"/>
      <w:szCs w:val="26"/>
    </w:rPr>
  </w:style>
  <w:style w:type="character" w:customStyle="1" w:styleId="Titre3Car">
    <w:name w:val="Titre 3 Car"/>
    <w:basedOn w:val="Policepardfaut"/>
    <w:link w:val="Titre3"/>
    <w:uiPriority w:val="9"/>
    <w:rPr>
      <w:rFonts w:ascii="Times New Roman" w:eastAsia="Calibri Light" w:hAnsi="Times New Roman" w:cs="Calibri Light"/>
      <w:color w:val="1F3763" w:themeColor="accent1" w:themeShade="7F"/>
      <w:sz w:val="24"/>
      <w:szCs w:val="24"/>
    </w:rPr>
  </w:style>
  <w:style w:type="character" w:customStyle="1" w:styleId="Titre4Car">
    <w:name w:val="Titre 4 Car"/>
    <w:basedOn w:val="Policepardfaut"/>
    <w:link w:val="Titre4"/>
    <w:uiPriority w:val="9"/>
    <w:rPr>
      <w:rFonts w:ascii="Times New Roman" w:eastAsia="Calibri Light" w:hAnsi="Times New Roman" w:cs="Calibri Light"/>
      <w:i/>
      <w:iCs/>
      <w:color w:val="2F5496" w:themeColor="accent1" w:themeShade="BF"/>
      <w:sz w:val="24"/>
    </w:rPr>
  </w:style>
  <w:style w:type="character" w:customStyle="1" w:styleId="Titre5Car">
    <w:name w:val="Titre 5 Car"/>
    <w:basedOn w:val="Policepardfaut"/>
    <w:link w:val="Titre5"/>
    <w:uiPriority w:val="9"/>
    <w:rPr>
      <w:rFonts w:ascii="Times New Roman" w:eastAsia="Calibri Light" w:hAnsi="Times New Roman" w:cs="Calibri Light"/>
      <w:color w:val="2F5496" w:themeColor="accent1" w:themeShade="BF"/>
      <w:sz w:val="24"/>
    </w:rPr>
  </w:style>
  <w:style w:type="character" w:customStyle="1" w:styleId="Titre6Car">
    <w:name w:val="Titre 6 Car"/>
    <w:basedOn w:val="Policepardfaut"/>
    <w:link w:val="Titre6"/>
    <w:uiPriority w:val="9"/>
    <w:rPr>
      <w:rFonts w:ascii="Times New Roman" w:eastAsia="Calibri Light" w:hAnsi="Times New Roman" w:cs="Calibri Light"/>
      <w:color w:val="1F3763" w:themeColor="accent1" w:themeShade="7F"/>
      <w:sz w:val="24"/>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Policepardfaut"/>
    <w:rsid w:val="00102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241226">
      <w:bodyDiv w:val="1"/>
      <w:marLeft w:val="0"/>
      <w:marRight w:val="0"/>
      <w:marTop w:val="0"/>
      <w:marBottom w:val="0"/>
      <w:divBdr>
        <w:top w:val="none" w:sz="0" w:space="0" w:color="auto"/>
        <w:left w:val="none" w:sz="0" w:space="0" w:color="auto"/>
        <w:bottom w:val="none" w:sz="0" w:space="0" w:color="auto"/>
        <w:right w:val="none" w:sz="0" w:space="0" w:color="auto"/>
      </w:divBdr>
    </w:div>
    <w:div w:id="74935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732</Words>
  <Characters>4029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Bureau</dc:creator>
  <cp:keywords/>
  <dc:description/>
  <cp:lastModifiedBy>Mathilde Nieuwjaer</cp:lastModifiedBy>
  <cp:revision>12</cp:revision>
  <dcterms:created xsi:type="dcterms:W3CDTF">2022-01-25T21:07:00Z</dcterms:created>
  <dcterms:modified xsi:type="dcterms:W3CDTF">2022-01-31T08:57:00Z</dcterms:modified>
</cp:coreProperties>
</file>