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07A" w:rsidRPr="00183F02" w:rsidRDefault="00171C10" w:rsidP="00183F02">
      <w:pPr>
        <w:jc w:val="center"/>
        <w:rPr>
          <w:b/>
        </w:rPr>
      </w:pPr>
      <w:r>
        <w:rPr>
          <w:b/>
          <w:color w:val="8EAADB" w:themeColor="accent5" w:themeTint="99"/>
          <w:sz w:val="28"/>
        </w:rPr>
        <w:t>No</w:t>
      </w:r>
      <w:r w:rsidR="0081307A" w:rsidRPr="00183F02">
        <w:rPr>
          <w:b/>
          <w:color w:val="8EAADB" w:themeColor="accent5" w:themeTint="99"/>
          <w:sz w:val="28"/>
        </w:rPr>
        <w:t>thern and Southern Blot</w:t>
      </w:r>
    </w:p>
    <w:p w:rsidR="00F23A56" w:rsidRPr="00946E17" w:rsidRDefault="0081307A" w:rsidP="00946E17">
      <w:pPr>
        <w:rPr>
          <w:b/>
          <w:color w:val="8EAADB" w:themeColor="accent5" w:themeTint="99"/>
        </w:rPr>
      </w:pPr>
      <w:r w:rsidRPr="00183F02">
        <w:rPr>
          <w:b/>
          <w:color w:val="8EAADB" w:themeColor="accent5" w:themeTint="99"/>
        </w:rPr>
        <w:t>Principe</w:t>
      </w:r>
    </w:p>
    <w:p w:rsidR="00183F02" w:rsidRDefault="008578A5" w:rsidP="00C37DD3">
      <w:r>
        <w:t xml:space="preserve">Le Southern Blot </w:t>
      </w:r>
      <w:r w:rsidR="00A81951">
        <w:t xml:space="preserve">(appelé aussi "transfert de type Southern") </w:t>
      </w:r>
      <w:r>
        <w:t>est une technique proposée par Edward M. Southern en 1975</w:t>
      </w:r>
      <w:r w:rsidR="00F23A56">
        <w:t>.</w:t>
      </w:r>
      <w:r w:rsidR="00101DFA">
        <w:t xml:space="preserve"> </w:t>
      </w:r>
      <w:r w:rsidR="00FC552E">
        <w:t xml:space="preserve">C'est un outil très efficace pour l'analyse de la structure d'un gène. </w:t>
      </w:r>
      <w:sdt>
        <w:sdtPr>
          <w:id w:val="436563663"/>
          <w:citation/>
        </w:sdtPr>
        <w:sdtEndPr/>
        <w:sdtContent>
          <w:r w:rsidR="00FC552E">
            <w:fldChar w:fldCharType="begin"/>
          </w:r>
          <w:r w:rsidR="00FC552E">
            <w:instrText xml:space="preserve">CITATION Wat92 \p "127 - 130" \l 1036 </w:instrText>
          </w:r>
          <w:r w:rsidR="00FC552E">
            <w:fldChar w:fldCharType="separate"/>
          </w:r>
          <w:r w:rsidR="00ED5F6E">
            <w:rPr>
              <w:noProof/>
            </w:rPr>
            <w:t>(Watson, 1992, pp. 127 - 130)</w:t>
          </w:r>
          <w:r w:rsidR="00FC552E">
            <w:fldChar w:fldCharType="end"/>
          </w:r>
        </w:sdtContent>
      </w:sdt>
      <w:r w:rsidR="00FC552E">
        <w:t xml:space="preserve"> Son but</w:t>
      </w:r>
      <w:r>
        <w:t xml:space="preserve"> </w:t>
      </w:r>
      <w:r w:rsidR="00101DFA">
        <w:t xml:space="preserve">est </w:t>
      </w:r>
      <w:r>
        <w:t>de rechercher des fragments d'ADN sur une électrophorèse en les hybridant avec une sonde complémentaire.</w:t>
      </w:r>
      <w:sdt>
        <w:sdtPr>
          <w:id w:val="522289161"/>
          <w:citation/>
        </w:sdtPr>
        <w:sdtEndPr/>
        <w:sdtContent>
          <w:r>
            <w:fldChar w:fldCharType="begin"/>
          </w:r>
          <w:r w:rsidR="00FC552E">
            <w:instrText xml:space="preserve">CITATION Fac \l 1036 </w:instrText>
          </w:r>
          <w:r>
            <w:fldChar w:fldCharType="separate"/>
          </w:r>
          <w:r w:rsidR="00ED5F6E">
            <w:rPr>
              <w:noProof/>
            </w:rPr>
            <w:t xml:space="preserve"> (Faculté de Médecine Pierre et Marie Curie)</w:t>
          </w:r>
          <w:r>
            <w:fldChar w:fldCharType="end"/>
          </w:r>
        </w:sdtContent>
      </w:sdt>
    </w:p>
    <w:p w:rsidR="00A81951" w:rsidRDefault="00F872D2" w:rsidP="00A81951">
      <w:r>
        <w:t>On peut par exemple employer cette méthode pour comparer l'ADN avec d'autres échantillons d'ADN et ainsi retrouver des délétions ou des remaniements dans lesquels un gène serait impliqué.</w:t>
      </w:r>
      <w:sdt>
        <w:sdtPr>
          <w:id w:val="1585728742"/>
          <w:citation/>
        </w:sdtPr>
        <w:sdtEndPr/>
        <w:sdtContent>
          <w:r>
            <w:fldChar w:fldCharType="begin"/>
          </w:r>
          <w:r>
            <w:instrText xml:space="preserve"> CITATION Wat92 \l 1036 </w:instrText>
          </w:r>
          <w:r>
            <w:fldChar w:fldCharType="separate"/>
          </w:r>
          <w:r w:rsidR="00ED5F6E">
            <w:rPr>
              <w:noProof/>
            </w:rPr>
            <w:t xml:space="preserve"> (Watson, 1992)</w:t>
          </w:r>
          <w:r>
            <w:fldChar w:fldCharType="end"/>
          </w:r>
        </w:sdtContent>
      </w:sdt>
      <w:r>
        <w:t>. On peut aussi s'en servir pour comparer différents gènes intra-espèces ou inter-espèces. On peut comparer des collections d'ADN issues de différents organismes pour étudier la conservation d'un tel ou tel gène.</w:t>
      </w:r>
      <w:sdt>
        <w:sdtPr>
          <w:id w:val="509185370"/>
          <w:citation/>
        </w:sdtPr>
        <w:sdtEndPr/>
        <w:sdtContent>
          <w:r>
            <w:fldChar w:fldCharType="begin"/>
          </w:r>
          <w:r>
            <w:instrText xml:space="preserve"> CITATION Wat92 \l 1036 </w:instrText>
          </w:r>
          <w:r>
            <w:fldChar w:fldCharType="separate"/>
          </w:r>
          <w:r w:rsidR="00ED5F6E">
            <w:rPr>
              <w:noProof/>
            </w:rPr>
            <w:t xml:space="preserve"> (Watson, 1992)</w:t>
          </w:r>
          <w:r>
            <w:fldChar w:fldCharType="end"/>
          </w:r>
        </w:sdtContent>
      </w:sdt>
    </w:p>
    <w:p w:rsidR="00B72038" w:rsidRDefault="00B861E0" w:rsidP="00A81951">
      <w:bookmarkStart w:id="0" w:name="_GoBack"/>
      <w:r>
        <w:rPr>
          <w:noProof/>
          <w:lang w:eastAsia="fr-FR"/>
        </w:rPr>
        <w:drawing>
          <wp:anchor distT="0" distB="0" distL="114300" distR="114300" simplePos="0" relativeHeight="251658240" behindDoc="1" locked="0" layoutInCell="1" allowOverlap="1" wp14:anchorId="3CE8310F" wp14:editId="32AEED1C">
            <wp:simplePos x="0" y="0"/>
            <wp:positionH relativeFrom="margin">
              <wp:align>left</wp:align>
            </wp:positionH>
            <wp:positionV relativeFrom="margin">
              <wp:posOffset>4704023</wp:posOffset>
            </wp:positionV>
            <wp:extent cx="1937385" cy="3859530"/>
            <wp:effectExtent l="0" t="0" r="5715"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ern blot 001.jpg"/>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1937385" cy="3859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F07C4A">
        <w:t xml:space="preserve">La même technique mais appliquée au ARN est appelée transfert de type Nothern. </w:t>
      </w:r>
      <w:sdt>
        <w:sdtPr>
          <w:id w:val="264438336"/>
          <w:citation/>
        </w:sdtPr>
        <w:sdtEndPr/>
        <w:sdtContent>
          <w:r w:rsidR="00F07C4A">
            <w:fldChar w:fldCharType="begin"/>
          </w:r>
          <w:r w:rsidR="00F07C4A">
            <w:instrText xml:space="preserve"> CITATION Abd96 \l 1036 </w:instrText>
          </w:r>
          <w:r w:rsidR="00F07C4A">
            <w:fldChar w:fldCharType="separate"/>
          </w:r>
          <w:r w:rsidR="00ED5F6E">
            <w:rPr>
              <w:noProof/>
            </w:rPr>
            <w:t>(Maftah, 1996)</w:t>
          </w:r>
          <w:r w:rsidR="00F07C4A">
            <w:fldChar w:fldCharType="end"/>
          </w:r>
        </w:sdtContent>
      </w:sdt>
      <w:r w:rsidR="00BB7980">
        <w:t xml:space="preserve"> Elle est à la base de la plupart des informations sur l'expression des gènes, sur les fonctions d'ARN aujourd'hui connues. </w:t>
      </w:r>
    </w:p>
    <w:p w:rsidR="00F07C4A" w:rsidRDefault="00D665CF" w:rsidP="00B72038">
      <w:r>
        <w:t>Cette technique est particulièrement intéressa</w:t>
      </w:r>
      <w:r w:rsidR="00691F74">
        <w:t>nte pour évaluer un clonage d'ADNc.</w:t>
      </w:r>
      <w:r w:rsidR="00B72038">
        <w:t xml:space="preserve"> Elle </w:t>
      </w:r>
      <w:r>
        <w:t>perm</w:t>
      </w:r>
      <w:r w:rsidR="00B72038">
        <w:t>et</w:t>
      </w:r>
      <w:r w:rsidR="00FD166A">
        <w:t xml:space="preserve"> </w:t>
      </w:r>
      <w:r w:rsidR="001678FA">
        <w:t>de comparer la taille de l'AR</w:t>
      </w:r>
      <w:r>
        <w:t>Nm avec celle de l'</w:t>
      </w:r>
      <w:proofErr w:type="spellStart"/>
      <w:r>
        <w:t>ARNc</w:t>
      </w:r>
      <w:proofErr w:type="spellEnd"/>
      <w:r>
        <w:t xml:space="preserve"> et ainsi savoir si l'ADNc est bien complet.</w:t>
      </w:r>
      <w:sdt>
        <w:sdtPr>
          <w:id w:val="934790402"/>
          <w:citation/>
        </w:sdtPr>
        <w:sdtEndPr/>
        <w:sdtContent>
          <w:r>
            <w:fldChar w:fldCharType="begin"/>
          </w:r>
          <w:r>
            <w:instrText xml:space="preserve">CITATION Wat92 \p 130 \l 1036 </w:instrText>
          </w:r>
          <w:r>
            <w:fldChar w:fldCharType="separate"/>
          </w:r>
          <w:r w:rsidR="00ED5F6E">
            <w:rPr>
              <w:noProof/>
            </w:rPr>
            <w:t xml:space="preserve"> (Watson, 1992, p. 130)</w:t>
          </w:r>
          <w:r>
            <w:fldChar w:fldCharType="end"/>
          </w:r>
        </w:sdtContent>
      </w:sdt>
      <w:r w:rsidR="00B72038">
        <w:t xml:space="preserve"> E</w:t>
      </w:r>
      <w:r w:rsidR="0059743F">
        <w:t>lle</w:t>
      </w:r>
      <w:r w:rsidR="0037076E">
        <w:t xml:space="preserve"> permet aussi de savoir dans quelles cellules un gène ou ses facteurs d'expression s'expriment. </w:t>
      </w:r>
      <w:r w:rsidR="001678FA">
        <w:t>En plus, on peut analyser l'activité des cellules par extraction et quantification de l'ARN de ces cellules à des instants différents.</w:t>
      </w:r>
    </w:p>
    <w:p w:rsidR="00CD133A" w:rsidRPr="00CD133A" w:rsidRDefault="00CD133A" w:rsidP="00B72038">
      <w:pPr>
        <w:rPr>
          <w:b/>
        </w:rPr>
      </w:pPr>
      <w:r w:rsidRPr="00CD133A">
        <w:rPr>
          <w:b/>
          <w:color w:val="9CC2E5" w:themeColor="accent1" w:themeTint="99"/>
        </w:rPr>
        <w:t>Principe</w:t>
      </w:r>
    </w:p>
    <w:p w:rsidR="00CD133A" w:rsidRDefault="00CD133A" w:rsidP="00B72038">
      <w:r>
        <w:t>Les deux techniques consistent à faire hybrider une sonde marquée sur des séquences d'ADN (Southern blot) ou sur de l'ARN (Northern blot) afin de mieux connaitre les séquences d'un échantillon.</w:t>
      </w:r>
    </w:p>
    <w:p w:rsidR="00183F02" w:rsidRPr="007C2B9A" w:rsidRDefault="00183F02" w:rsidP="007C2B9A">
      <w:pPr>
        <w:rPr>
          <w:b/>
        </w:rPr>
      </w:pPr>
      <w:r w:rsidRPr="00183F02">
        <w:rPr>
          <w:b/>
          <w:color w:val="8EAADB" w:themeColor="accent5" w:themeTint="99"/>
        </w:rPr>
        <w:t>Mode opératoire</w:t>
      </w:r>
    </w:p>
    <w:p w:rsidR="0081307A" w:rsidRPr="0081307A" w:rsidRDefault="00DF5A9A" w:rsidP="00183F02">
      <w:r>
        <w:rPr>
          <w:noProof/>
          <w:lang w:eastAsia="fr-FR"/>
        </w:rPr>
        <mc:AlternateContent>
          <mc:Choice Requires="wps">
            <w:drawing>
              <wp:anchor distT="0" distB="0" distL="114300" distR="114300" simplePos="0" relativeHeight="251660288" behindDoc="1" locked="0" layoutInCell="1" allowOverlap="1" wp14:anchorId="3EC84F22" wp14:editId="2590B41A">
                <wp:simplePos x="0" y="0"/>
                <wp:positionH relativeFrom="margin">
                  <wp:posOffset>0</wp:posOffset>
                </wp:positionH>
                <wp:positionV relativeFrom="paragraph">
                  <wp:posOffset>2715174</wp:posOffset>
                </wp:positionV>
                <wp:extent cx="2697480" cy="434340"/>
                <wp:effectExtent l="0" t="0" r="7620" b="3810"/>
                <wp:wrapTight wrapText="bothSides">
                  <wp:wrapPolygon edited="0">
                    <wp:start x="0" y="0"/>
                    <wp:lineTo x="0" y="20842"/>
                    <wp:lineTo x="21508" y="20842"/>
                    <wp:lineTo x="21508"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2697480" cy="434340"/>
                        </a:xfrm>
                        <a:prstGeom prst="rect">
                          <a:avLst/>
                        </a:prstGeom>
                        <a:solidFill>
                          <a:prstClr val="white"/>
                        </a:solidFill>
                        <a:ln>
                          <a:noFill/>
                        </a:ln>
                        <a:effectLst/>
                      </wps:spPr>
                      <wps:txbx>
                        <w:txbxContent>
                          <w:p w:rsidR="00363EA8" w:rsidRPr="00C36B72" w:rsidRDefault="00363EA8" w:rsidP="00363EA8">
                            <w:pPr>
                              <w:pStyle w:val="Lgende"/>
                              <w:ind w:firstLine="0"/>
                              <w:rPr>
                                <w:noProof/>
                              </w:rPr>
                            </w:pPr>
                            <w:r>
                              <w:t xml:space="preserve">Figure </w:t>
                            </w:r>
                            <w:fldSimple w:instr=" SEQ Figure \* ARABIC ">
                              <w:r w:rsidR="00ED5F6E">
                                <w:rPr>
                                  <w:noProof/>
                                </w:rPr>
                                <w:t>1</w:t>
                              </w:r>
                            </w:fldSimple>
                            <w:r>
                              <w:t xml:space="preserve"> Principe de la technique de transfert-hybridation type Southern</w:t>
                            </w:r>
                            <w:r w:rsidR="005E4FFB">
                              <w:t xml:space="preserve"> </w:t>
                            </w:r>
                            <w:sdt>
                              <w:sdtPr>
                                <w:id w:val="344297780"/>
                                <w:citation/>
                              </w:sdtPr>
                              <w:sdtEndPr/>
                              <w:sdtContent>
                                <w:r w:rsidR="005E4FFB">
                                  <w:fldChar w:fldCharType="begin"/>
                                </w:r>
                                <w:r w:rsidR="005E4FFB">
                                  <w:instrText xml:space="preserve"> CITATION Abd96 \l 1036 </w:instrText>
                                </w:r>
                                <w:r w:rsidR="005E4FFB">
                                  <w:fldChar w:fldCharType="separate"/>
                                </w:r>
                                <w:r w:rsidR="00ED5F6E">
                                  <w:rPr>
                                    <w:noProof/>
                                  </w:rPr>
                                  <w:t>(Maftah, 1996)</w:t>
                                </w:r>
                                <w:r w:rsidR="005E4FFB">
                                  <w:fldChar w:fldCharType="end"/>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84F22" id="_x0000_t202" coordsize="21600,21600" o:spt="202" path="m,l,21600r21600,l21600,xe">
                <v:stroke joinstyle="miter"/>
                <v:path gradientshapeok="t" o:connecttype="rect"/>
              </v:shapetype>
              <v:shape id="Zone de texte 2" o:spid="_x0000_s1026" type="#_x0000_t202" style="position:absolute;left:0;text-align:left;margin-left:0;margin-top:213.8pt;width:212.4pt;height:34.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" stroked="f">
                <v:textbox inset="0,0,0,0">
                  <w:txbxContent>
                    <w:p w:rsidR="00363EA8" w:rsidRPr="00C36B72" w:rsidRDefault="00363EA8" w:rsidP="00363EA8">
                      <w:pPr>
                        <w:pStyle w:val="Lgende"/>
                        <w:ind w:firstLine="0"/>
                        <w:rPr>
                          <w:noProof/>
                        </w:rPr>
                      </w:pPr>
                      <w:r>
                        <w:t xml:space="preserve">Figure </w:t>
                      </w:r>
                      <w:r w:rsidR="00CD133A">
                        <w:fldChar w:fldCharType="begin"/>
                      </w:r>
                      <w:r w:rsidR="00CD133A">
                        <w:instrText xml:space="preserve"> SEQ Figure \* ARABIC </w:instrText>
                      </w:r>
                      <w:r w:rsidR="00CD133A">
                        <w:fldChar w:fldCharType="separate"/>
                      </w:r>
                      <w:r w:rsidR="00ED5F6E">
                        <w:rPr>
                          <w:noProof/>
                        </w:rPr>
                        <w:t>1</w:t>
                      </w:r>
                      <w:r w:rsidR="00CD133A">
                        <w:rPr>
                          <w:noProof/>
                        </w:rPr>
                        <w:fldChar w:fldCharType="end"/>
                      </w:r>
                      <w:r>
                        <w:t xml:space="preserve"> Principe de la technique de transfert-hybridation type Southern</w:t>
                      </w:r>
                      <w:r w:rsidR="005E4FFB">
                        <w:t xml:space="preserve"> </w:t>
                      </w:r>
                      <w:sdt>
                        <w:sdtPr>
                          <w:id w:val="344297780"/>
                          <w:citation/>
                        </w:sdtPr>
                        <w:sdtEndPr/>
                        <w:sdtContent>
                          <w:r w:rsidR="005E4FFB">
                            <w:fldChar w:fldCharType="begin"/>
                          </w:r>
                          <w:r w:rsidR="005E4FFB">
                            <w:instrText xml:space="preserve"> CITATION Abd96 \l 1036 </w:instrText>
                          </w:r>
                          <w:r w:rsidR="005E4FFB">
                            <w:fldChar w:fldCharType="separate"/>
                          </w:r>
                          <w:r w:rsidR="00ED5F6E">
                            <w:rPr>
                              <w:noProof/>
                            </w:rPr>
                            <w:t>(Maftah, 1996)</w:t>
                          </w:r>
                          <w:r w:rsidR="005E4FFB">
                            <w:fldChar w:fldCharType="end"/>
                          </w:r>
                        </w:sdtContent>
                      </w:sdt>
                    </w:p>
                  </w:txbxContent>
                </v:textbox>
                <w10:wrap type="tight" anchorx="margin"/>
              </v:shape>
            </w:pict>
          </mc:Fallback>
        </mc:AlternateContent>
      </w:r>
      <w:r w:rsidR="0080130A">
        <w:t xml:space="preserve">Tout d'abord, pour réaliser un Southern blot, il faut avoir coupé </w:t>
      </w:r>
      <w:r w:rsidR="00183F02">
        <w:t>préalablement</w:t>
      </w:r>
      <w:r w:rsidR="0080130A">
        <w:t xml:space="preserve"> les fragments d'ADN a</w:t>
      </w:r>
      <w:r w:rsidR="008F555D">
        <w:t xml:space="preserve">vec des enzymes de restriction et fait migrer l'ADN dans du gel d'agarose par la technique d'Electrophorèse. Par la suite on applique sur le gel un filtre de nitrocellulose ou une membrane de nylon et </w:t>
      </w:r>
      <w:r w:rsidR="008F555D">
        <w:lastRenderedPageBreak/>
        <w:t xml:space="preserve">on fait circuler un tampon du gel vers la membrane. Ainsi les fragments d'ADN sont </w:t>
      </w:r>
      <w:r w:rsidR="00696119">
        <w:t xml:space="preserve">transférés et </w:t>
      </w:r>
      <w:r w:rsidR="008F555D">
        <w:t xml:space="preserve">fixés </w:t>
      </w:r>
      <w:r w:rsidR="00696119">
        <w:t xml:space="preserve">par UV ou chauffage </w:t>
      </w:r>
      <w:r w:rsidR="008F555D">
        <w:t xml:space="preserve">sur la membrane et on obtient une "réplique" du gel sur le filtre de nitrocellulose ou la membrane en nylon. La prochaine étape consiste à </w:t>
      </w:r>
      <w:r w:rsidR="00F6654E">
        <w:t xml:space="preserve">mettre en contact la réplique avec une sonde d'ADN </w:t>
      </w:r>
      <w:r w:rsidR="008A453B">
        <w:t xml:space="preserve">simple brin </w:t>
      </w:r>
      <w:r w:rsidR="00F6654E">
        <w:t xml:space="preserve">ou d'ARN connus, marqués </w:t>
      </w:r>
      <w:proofErr w:type="spellStart"/>
      <w:r w:rsidR="00F6654E">
        <w:t>radioactivement</w:t>
      </w:r>
      <w:proofErr w:type="spellEnd"/>
      <w:r w:rsidR="00F6654E">
        <w:t>, un ADNc cloné ou une court</w:t>
      </w:r>
      <w:r w:rsidR="00696119">
        <w:t>e</w:t>
      </w:r>
      <w:r w:rsidR="00F6654E">
        <w:t xml:space="preserve"> oligonucléotide connu</w:t>
      </w:r>
      <w:r w:rsidR="008659B1">
        <w:t>e</w:t>
      </w:r>
      <w:r w:rsidR="00F6654E">
        <w:t xml:space="preserve">. Cette sonde </w:t>
      </w:r>
      <w:r w:rsidR="00696119">
        <w:t xml:space="preserve">simple brin </w:t>
      </w:r>
      <w:r w:rsidR="00F6654E">
        <w:t>connue va s'hybrider sur les molécules correspondantes à la séquence complémentaire présentes sur le filtre. Les fragments de la sonde non hybridée sont éliminés</w:t>
      </w:r>
      <w:r w:rsidR="00696119">
        <w:t xml:space="preserve"> </w:t>
      </w:r>
      <w:r w:rsidR="00971B1E">
        <w:t xml:space="preserve">par la suite </w:t>
      </w:r>
      <w:r w:rsidR="00696119">
        <w:t>par un lavage avec des solutions salines de différentes forces ioniques</w:t>
      </w:r>
      <w:r w:rsidR="00F6654E">
        <w:t>. Une autoradiographie de la membrane va révéler des bandes d'ADN hybridés avec la sonde. On peut y voir le nombre et la taille des fragments d'ADN qui possèdent une séquence comp</w:t>
      </w:r>
      <w:r w:rsidR="00F872D2">
        <w:t>lémentaire à celle de la sonde.</w:t>
      </w:r>
      <w:r w:rsidR="001E53ED">
        <w:t xml:space="preserve"> </w:t>
      </w:r>
      <w:sdt>
        <w:sdtPr>
          <w:id w:val="-383722111"/>
          <w:citation/>
        </w:sdtPr>
        <w:sdtEndPr/>
        <w:sdtContent>
          <w:r w:rsidR="001E53ED">
            <w:fldChar w:fldCharType="begin"/>
          </w:r>
          <w:r w:rsidR="001E53ED">
            <w:instrText xml:space="preserve"> CITATION Wat92 \l 1036 </w:instrText>
          </w:r>
          <w:r w:rsidR="001E53ED">
            <w:fldChar w:fldCharType="separate"/>
          </w:r>
          <w:r w:rsidR="00ED5F6E">
            <w:rPr>
              <w:noProof/>
            </w:rPr>
            <w:t>(Watson, 1992)</w:t>
          </w:r>
          <w:r w:rsidR="001E53ED">
            <w:fldChar w:fldCharType="end"/>
          </w:r>
        </w:sdtContent>
      </w:sdt>
      <w:r w:rsidR="001E53ED">
        <w:t xml:space="preserve"> Cette autoradiographie est aussi appelée "carte de restriction" d'un ADN car on peut ainsi déterminer la position des sites de restriction au sein de cet ADN. </w:t>
      </w:r>
      <w:sdt>
        <w:sdtPr>
          <w:id w:val="-266160639"/>
          <w:citation/>
        </w:sdtPr>
        <w:sdtEndPr/>
        <w:sdtContent>
          <w:r w:rsidR="001E53ED">
            <w:fldChar w:fldCharType="begin"/>
          </w:r>
          <w:r w:rsidR="001E53ED">
            <w:instrText xml:space="preserve"> CITATION Abd96 \l 1036 </w:instrText>
          </w:r>
          <w:r w:rsidR="001E53ED">
            <w:fldChar w:fldCharType="separate"/>
          </w:r>
          <w:r w:rsidR="00ED5F6E">
            <w:rPr>
              <w:noProof/>
            </w:rPr>
            <w:t>(Maftah, 1996)</w:t>
          </w:r>
          <w:r w:rsidR="001E53ED">
            <w:fldChar w:fldCharType="end"/>
          </w:r>
        </w:sdtContent>
      </w:sdt>
    </w:p>
    <w:p w:rsidR="0081307A" w:rsidRPr="0081307A" w:rsidRDefault="00171C10">
      <w:r>
        <w:t>La technique du No</w:t>
      </w:r>
      <w:r w:rsidR="00FC3AA5">
        <w:t>r</w:t>
      </w:r>
      <w:r w:rsidR="00D665CF">
        <w:t>thern bl</w:t>
      </w:r>
      <w:r w:rsidR="007216C2">
        <w:t>ot suit le même mode opératoire mais vue que les séquences d'ARN sont petites, la digestion préalable n'est pas nécessaire.</w:t>
      </w:r>
      <w:r w:rsidR="00FC3AA5">
        <w:t xml:space="preserve"> On obtient aussi une autoradiographie.</w:t>
      </w:r>
    </w:p>
    <w:p w:rsidR="0081307A" w:rsidRPr="00E80265" w:rsidRDefault="0081307A" w:rsidP="00E80265">
      <w:pPr>
        <w:rPr>
          <w:b/>
        </w:rPr>
      </w:pPr>
      <w:r w:rsidRPr="00183F02">
        <w:rPr>
          <w:b/>
          <w:color w:val="8EAADB" w:themeColor="accent5" w:themeTint="99"/>
        </w:rPr>
        <w:t>Intérêt et limites</w:t>
      </w:r>
    </w:p>
    <w:p w:rsidR="00BB7980" w:rsidRDefault="004919B6" w:rsidP="00BB7980">
      <w:r>
        <w:t>L'avantage principal d'un Southern et Northern blot est son application relativement facile.</w:t>
      </w:r>
      <w:r w:rsidR="00EF6127">
        <w:t xml:space="preserve"> </w:t>
      </w:r>
      <w:proofErr w:type="spellStart"/>
      <w:r w:rsidR="00EF6127">
        <w:t>Neanmoins</w:t>
      </w:r>
      <w:proofErr w:type="spellEnd"/>
      <w:r w:rsidR="00EF6127">
        <w:t xml:space="preserve"> le manipulateur doit prendre des précautions pour </w:t>
      </w:r>
      <w:r w:rsidR="00BA0E95">
        <w:t>protéger</w:t>
      </w:r>
      <w:r w:rsidR="00EF6127">
        <w:t xml:space="preserve"> son échantillon des </w:t>
      </w:r>
      <w:proofErr w:type="spellStart"/>
      <w:r w:rsidR="00EF6127">
        <w:t>ARNases</w:t>
      </w:r>
      <w:proofErr w:type="spellEnd"/>
      <w:r w:rsidR="00EF6127">
        <w:t>,</w:t>
      </w:r>
      <w:r w:rsidR="00A043DD">
        <w:t xml:space="preserve"> et soi-même de produits chimiques et UV. Un autre avantage est qu'</w:t>
      </w:r>
      <w:r w:rsidR="002B340D">
        <w:t>on peut mettre</w:t>
      </w:r>
      <w:r w:rsidR="008D4228">
        <w:t xml:space="preserve"> le choix des enzymes de restriction qu'on possède actuellement</w:t>
      </w:r>
      <w:r w:rsidR="002B340D">
        <w:t xml:space="preserve"> au profit d'un Southern blot plus précis que dans le passé.</w:t>
      </w:r>
      <w:r w:rsidR="00BB7980">
        <w:t xml:space="preserve"> Les deux techniques permettent aussi de détecter la taille d'ADN ou d'ARN.</w:t>
      </w:r>
    </w:p>
    <w:p w:rsidR="004919B6" w:rsidRDefault="004919B6">
      <w:r>
        <w:t>D</w:t>
      </w:r>
      <w:r w:rsidR="00451C54">
        <w:t>es techniques d'</w:t>
      </w:r>
      <w:r>
        <w:t>hybridation alternatives sont le</w:t>
      </w:r>
      <w:r w:rsidR="00451C54">
        <w:t xml:space="preserve"> FISH, </w:t>
      </w:r>
      <w:r>
        <w:t xml:space="preserve">le </w:t>
      </w:r>
      <w:r w:rsidR="00451C54">
        <w:t xml:space="preserve">PCR – in situ, </w:t>
      </w:r>
      <w:r>
        <w:t>l'</w:t>
      </w:r>
      <w:r w:rsidR="00451C54">
        <w:t>ASO (dot blot et</w:t>
      </w:r>
      <w:r w:rsidR="00B84829">
        <w:t xml:space="preserve"> reverse dot blot)</w:t>
      </w:r>
      <w:r w:rsidR="00451C54">
        <w:t xml:space="preserve"> etc.</w:t>
      </w:r>
    </w:p>
    <w:p w:rsidR="004919B6" w:rsidRDefault="004919B6" w:rsidP="00E80265">
      <w:r>
        <w:t xml:space="preserve">Parmi les </w:t>
      </w:r>
      <w:r w:rsidR="00B84829">
        <w:t>inconvénient</w:t>
      </w:r>
      <w:r>
        <w:t>s</w:t>
      </w:r>
      <w:r w:rsidR="00B84829">
        <w:t xml:space="preserve"> d'un Southern ou</w:t>
      </w:r>
      <w:r>
        <w:t xml:space="preserve"> Northern blot on peut citer</w:t>
      </w:r>
      <w:r w:rsidR="00B84829">
        <w:t xml:space="preserve"> la quantité minimale </w:t>
      </w:r>
      <w:r>
        <w:t xml:space="preserve">nécessaire </w:t>
      </w:r>
      <w:r w:rsidR="00B84829">
        <w:t>pour</w:t>
      </w:r>
      <w:r>
        <w:t xml:space="preserve"> mettre en place la méthode </w:t>
      </w:r>
      <w:r w:rsidR="009B3D20">
        <w:t xml:space="preserve">qui est </w:t>
      </w:r>
      <w:r w:rsidR="00B84829">
        <w:t xml:space="preserve">de 1µg d'ADN, soit 150 000 cellules. A titre indicatif, pour un PCR il peut en théorie suffire une seule cellule. Aussi, cette technique fournit une analyse moins fine que la méthode FISH, PCR – in situ ou </w:t>
      </w:r>
      <w:r w:rsidR="001E6CAB">
        <w:t>la méthode du branched DNA, elles concentrées sur des séquences d'intérêt plutôt que sur des fragments de restriction.</w:t>
      </w:r>
      <w:sdt>
        <w:sdtPr>
          <w:id w:val="-1674871278"/>
          <w:citation/>
        </w:sdtPr>
        <w:sdtEndPr/>
        <w:sdtContent>
          <w:r w:rsidR="00C90FF5">
            <w:fldChar w:fldCharType="begin"/>
          </w:r>
          <w:r w:rsidR="00C90FF5">
            <w:instrText xml:space="preserve">CITATION Jea02 \p "46 - 49" \l 1036 </w:instrText>
          </w:r>
          <w:r w:rsidR="00C90FF5">
            <w:fldChar w:fldCharType="separate"/>
          </w:r>
          <w:r w:rsidR="00ED5F6E">
            <w:rPr>
              <w:noProof/>
            </w:rPr>
            <w:t xml:space="preserve"> (Serre, 2002, pp. 46 - 49)</w:t>
          </w:r>
          <w:r w:rsidR="00C90FF5">
            <w:fldChar w:fldCharType="end"/>
          </w:r>
        </w:sdtContent>
      </w:sdt>
      <w:r>
        <w:t xml:space="preserve"> Enfin, elle est relativement longue car pour réaliser l'autoradiographie, il faut que le filtre soit en contact avec le film </w:t>
      </w:r>
      <w:r w:rsidR="002F012D">
        <w:t>photographique</w:t>
      </w:r>
      <w:r>
        <w:t xml:space="preserve"> pendant plusieurs jours.</w:t>
      </w:r>
      <w:sdt>
        <w:sdtPr>
          <w:id w:val="1284467664"/>
          <w:citation/>
        </w:sdtPr>
        <w:sdtEndPr/>
        <w:sdtContent>
          <w:r w:rsidR="004C3B7B">
            <w:fldChar w:fldCharType="begin"/>
          </w:r>
          <w:r w:rsidR="004C3B7B">
            <w:instrText xml:space="preserve"> CITATION Fan \l 1036 </w:instrText>
          </w:r>
          <w:r w:rsidR="004C3B7B">
            <w:fldChar w:fldCharType="separate"/>
          </w:r>
          <w:r w:rsidR="00ED5F6E">
            <w:rPr>
              <w:noProof/>
            </w:rPr>
            <w:t xml:space="preserve"> (Demay)</w:t>
          </w:r>
          <w:r w:rsidR="004C3B7B">
            <w:fldChar w:fldCharType="end"/>
          </w:r>
        </w:sdtContent>
      </w:sdt>
    </w:p>
    <w:p w:rsidR="00E80265" w:rsidRPr="00DF5A9A" w:rsidRDefault="00E80265" w:rsidP="00E80265">
      <w:r>
        <w:tab/>
        <w:t>L'étape critique d'un Southern ou Northern blot est le lavage de la membrane des hybridations ou adsorptions non spécifiqu</w:t>
      </w:r>
      <w:r w:rsidR="009B3D20">
        <w:t>es possibles avec la sonde. Il est réalisé</w:t>
      </w:r>
      <w:r>
        <w:t xml:space="preserve"> après l'hybridation entre la sonde et l'ADN ou ARN étudié et avant la réalisation de l'autoradiographie. Elle influe sur la qualité, la sensibilité et la fiabilité des résultats. On définit par "stringence" la puissance avec laquelle a été effectué le lavage. Plus la température est élevée (effet sur les liaisons H), plus la force ionique est </w:t>
      </w:r>
      <w:r>
        <w:lastRenderedPageBreak/>
        <w:t xml:space="preserve">faible et plus la concentration en détergent est élevée, plus la stringence sera forte et donc la sonde va se décrocher. </w:t>
      </w:r>
      <w:sdt>
        <w:sdtPr>
          <w:id w:val="-1493793142"/>
          <w:citation/>
        </w:sdtPr>
        <w:sdtEndPr/>
        <w:sdtContent>
          <w:r>
            <w:fldChar w:fldCharType="begin"/>
          </w:r>
          <w:r>
            <w:instrText xml:space="preserve">CITATION Jea02 \p 49 \l 1036 </w:instrText>
          </w:r>
          <w:r>
            <w:fldChar w:fldCharType="separate"/>
          </w:r>
          <w:r w:rsidR="00ED5F6E">
            <w:rPr>
              <w:noProof/>
            </w:rPr>
            <w:t>(Serre, 2002, p. 49)</w:t>
          </w:r>
          <w:r>
            <w:fldChar w:fldCharType="end"/>
          </w:r>
        </w:sdtContent>
      </w:sdt>
    </w:p>
    <w:p w:rsidR="0081307A" w:rsidRPr="00E80265" w:rsidRDefault="0081307A" w:rsidP="00E80265">
      <w:pPr>
        <w:rPr>
          <w:b/>
        </w:rPr>
      </w:pPr>
      <w:r w:rsidRPr="00183F02">
        <w:rPr>
          <w:b/>
          <w:color w:val="8EAADB" w:themeColor="accent5" w:themeTint="99"/>
        </w:rPr>
        <w:t>Expression des résultats</w:t>
      </w:r>
    </w:p>
    <w:p w:rsidR="0081307A" w:rsidRDefault="00C37DD3">
      <w:r>
        <w:t>On obtient par l'intermédiaire de la méthode du Southern blot une "carte de restriction" qu'on peut comparer avec les cartes de restriction des autres échantillons d'ADN connus ou justement méconnus.</w:t>
      </w:r>
      <w:sdt>
        <w:sdtPr>
          <w:id w:val="-1196238316"/>
          <w:citation/>
        </w:sdtPr>
        <w:sdtEndPr/>
        <w:sdtContent>
          <w:r>
            <w:fldChar w:fldCharType="begin"/>
          </w:r>
          <w:r>
            <w:instrText xml:space="preserve">CITATION Abd96 \l 1036 </w:instrText>
          </w:r>
          <w:r>
            <w:fldChar w:fldCharType="separate"/>
          </w:r>
          <w:r>
            <w:rPr>
              <w:noProof/>
            </w:rPr>
            <w:t xml:space="preserve"> (Maftah, 1996)</w:t>
          </w:r>
          <w:r>
            <w:fldChar w:fldCharType="end"/>
          </w:r>
        </w:sdtContent>
      </w:sdt>
      <w:r>
        <w:t xml:space="preserve"> </w:t>
      </w:r>
      <w:r w:rsidR="008F7911">
        <w:t>En voici un exemple :</w:t>
      </w:r>
    </w:p>
    <w:p w:rsidR="00AF67FF" w:rsidRDefault="00AF67FF" w:rsidP="00AF67FF">
      <w:pPr>
        <w:keepNext/>
      </w:pPr>
      <w:r>
        <w:rPr>
          <w:noProof/>
          <w:lang w:eastAsia="fr-FR"/>
        </w:rPr>
        <w:drawing>
          <wp:inline distT="0" distB="0" distL="0" distR="0" wp14:anchorId="26880037" wp14:editId="4A7D0E4E">
            <wp:extent cx="4572000" cy="3303270"/>
            <wp:effectExtent l="0" t="0" r="0" b="0"/>
            <wp:docPr id="3" name="Image 3" descr="http://fdanieau.free.fr/cours/bts/A1/biochimie/chapitre7/Restri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danieau.free.fr/cours/bts/A1/biochimie/chapitre7/Restric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813" cy="3303857"/>
                    </a:xfrm>
                    <a:prstGeom prst="rect">
                      <a:avLst/>
                    </a:prstGeom>
                    <a:noFill/>
                    <a:ln>
                      <a:noFill/>
                    </a:ln>
                  </pic:spPr>
                </pic:pic>
              </a:graphicData>
            </a:graphic>
          </wp:inline>
        </w:drawing>
      </w:r>
    </w:p>
    <w:p w:rsidR="008F7911" w:rsidRDefault="00AF67FF" w:rsidP="00AF67FF">
      <w:pPr>
        <w:pStyle w:val="Lgende"/>
      </w:pPr>
      <w:r>
        <w:t xml:space="preserve">Figure </w:t>
      </w:r>
      <w:r w:rsidR="00393B1B">
        <w:fldChar w:fldCharType="begin"/>
      </w:r>
      <w:r w:rsidR="00393B1B">
        <w:instrText xml:space="preserve"> SEQ Figure \* ARABIC </w:instrText>
      </w:r>
      <w:r w:rsidR="00393B1B">
        <w:fldChar w:fldCharType="separate"/>
      </w:r>
      <w:r w:rsidR="00ED5F6E">
        <w:rPr>
          <w:noProof/>
        </w:rPr>
        <w:t>2</w:t>
      </w:r>
      <w:r w:rsidR="00393B1B">
        <w:rPr>
          <w:noProof/>
        </w:rPr>
        <w:fldChar w:fldCharType="end"/>
      </w:r>
      <w:r w:rsidR="002F012D">
        <w:t xml:space="preserve"> </w:t>
      </w:r>
      <w:r>
        <w:t xml:space="preserve">Illustration des fragments après migration, Les outils de génétique moléculaire, Fanny </w:t>
      </w:r>
      <w:proofErr w:type="spellStart"/>
      <w:r>
        <w:t>Demay</w:t>
      </w:r>
      <w:proofErr w:type="spellEnd"/>
    </w:p>
    <w:p w:rsidR="004919B6" w:rsidRDefault="004919B6">
      <w:r>
        <w:t xml:space="preserve">Ici, dans le puit 1 </w:t>
      </w:r>
      <w:r w:rsidR="009B3D20">
        <w:t>un échantillon d'</w:t>
      </w:r>
      <w:r>
        <w:t xml:space="preserve">ADN avait été </w:t>
      </w:r>
      <w:r w:rsidR="00AF67FF">
        <w:t>digéré</w:t>
      </w:r>
      <w:r>
        <w:t xml:space="preserve"> par l'enzyme Eco RI. Dans le puit 2 se trouve l'ADN digéré par </w:t>
      </w:r>
      <w:proofErr w:type="spellStart"/>
      <w:r>
        <w:t>Hind</w:t>
      </w:r>
      <w:proofErr w:type="spellEnd"/>
      <w:r>
        <w:t xml:space="preserve"> III alors que dans le puit 3, l'ADN avait été digéré par les deux enzymes à la foi. On voit </w:t>
      </w:r>
      <w:r w:rsidR="00AF67FF">
        <w:t>donc qu'en fonction des enzymes de restriction qui ont digéré l'ADN, on aura une carte de restriction différente.</w:t>
      </w:r>
    </w:p>
    <w:p w:rsidR="00E26DC7" w:rsidRDefault="00C37DD3">
      <w:r>
        <w:t>En ce qui concerne le Northern blot, l'autoradiographie n'est plus appelée une carte de restriction car il n'est pas nécessaire de séq</w:t>
      </w:r>
      <w:r w:rsidR="009B3D20">
        <w:t xml:space="preserve">uencer l'ARN. En voici un </w:t>
      </w:r>
      <w:r>
        <w:t>exemple :</w:t>
      </w:r>
    </w:p>
    <w:p w:rsidR="00ED5F6E" w:rsidRDefault="00ED5F6E" w:rsidP="00ED5F6E">
      <w:pPr>
        <w:keepNext/>
        <w:ind w:firstLine="0"/>
      </w:pPr>
      <w:r>
        <w:rPr>
          <w:noProof/>
          <w:lang w:eastAsia="fr-FR"/>
        </w:rPr>
        <w:lastRenderedPageBreak/>
        <w:drawing>
          <wp:inline distT="0" distB="0" distL="0" distR="0" wp14:anchorId="018D8FE3" wp14:editId="2ED596C9">
            <wp:extent cx="3384724" cy="5804198"/>
            <wp:effectExtent l="0" t="0" r="635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6414A1.tmp"/>
                    <pic:cNvPicPr/>
                  </pic:nvPicPr>
                  <pic:blipFill>
                    <a:blip r:embed="rId7">
                      <a:extLst>
                        <a:ext uri="{28A0092B-C50C-407E-A947-70E740481C1C}">
                          <a14:useLocalDpi xmlns:a14="http://schemas.microsoft.com/office/drawing/2010/main" val="0"/>
                        </a:ext>
                      </a:extLst>
                    </a:blip>
                    <a:stretch>
                      <a:fillRect/>
                    </a:stretch>
                  </pic:blipFill>
                  <pic:spPr>
                    <a:xfrm>
                      <a:off x="0" y="0"/>
                      <a:ext cx="3384724" cy="5804198"/>
                    </a:xfrm>
                    <a:prstGeom prst="rect">
                      <a:avLst/>
                    </a:prstGeom>
                  </pic:spPr>
                </pic:pic>
              </a:graphicData>
            </a:graphic>
          </wp:inline>
        </w:drawing>
      </w:r>
    </w:p>
    <w:p w:rsidR="00E26DC7" w:rsidRPr="00ED5F6E" w:rsidRDefault="00ED5F6E" w:rsidP="00ED5F6E">
      <w:pPr>
        <w:pStyle w:val="Lgende"/>
        <w:rPr>
          <w:lang w:val="en-GB"/>
        </w:rPr>
      </w:pPr>
      <w:r w:rsidRPr="00ED5F6E">
        <w:rPr>
          <w:lang w:val="en-GB"/>
        </w:rPr>
        <w:t xml:space="preserve">Figure </w:t>
      </w:r>
      <w:r>
        <w:fldChar w:fldCharType="begin"/>
      </w:r>
      <w:r w:rsidRPr="00ED5F6E">
        <w:rPr>
          <w:lang w:val="en-GB"/>
        </w:rPr>
        <w:instrText xml:space="preserve"> SEQ Figure \* ARABIC </w:instrText>
      </w:r>
      <w:r>
        <w:fldChar w:fldCharType="separate"/>
      </w:r>
      <w:r w:rsidRPr="00ED5F6E">
        <w:rPr>
          <w:noProof/>
          <w:lang w:val="en-GB"/>
        </w:rPr>
        <w:t>3</w:t>
      </w:r>
      <w:r>
        <w:fldChar w:fldCharType="end"/>
      </w:r>
      <w:r w:rsidR="00DB4C20" w:rsidRPr="00DB4C20">
        <w:rPr>
          <w:lang w:val="en-GB"/>
        </w:rPr>
        <w:t xml:space="preserve"> </w:t>
      </w:r>
      <w:r w:rsidRPr="00ED5F6E">
        <w:rPr>
          <w:lang w:val="en-GB"/>
        </w:rPr>
        <w:t xml:space="preserve">Northern Blot analysis, Sensitive and specific detection of microRNAs by Northern blot analysis using LNA-modified oligonucleotide probes </w:t>
      </w:r>
      <w:sdt>
        <w:sdtPr>
          <w:rPr>
            <w:lang w:val="en-GB"/>
          </w:rPr>
          <w:id w:val="-1509133510"/>
          <w:citation/>
        </w:sdtPr>
        <w:sdtEndPr/>
        <w:sdtContent>
          <w:r>
            <w:rPr>
              <w:lang w:val="en-GB"/>
            </w:rPr>
            <w:fldChar w:fldCharType="begin"/>
          </w:r>
          <w:r w:rsidRPr="00ED5F6E">
            <w:rPr>
              <w:lang w:val="en-GB"/>
            </w:rPr>
            <w:instrText xml:space="preserve"> CITATION Ann04 \l 1036 </w:instrText>
          </w:r>
          <w:r>
            <w:rPr>
              <w:lang w:val="en-GB"/>
            </w:rPr>
            <w:fldChar w:fldCharType="separate"/>
          </w:r>
          <w:r w:rsidRPr="00ED5F6E">
            <w:rPr>
              <w:noProof/>
              <w:lang w:val="en-GB"/>
            </w:rPr>
            <w:t>(Vàloczi, 2004)</w:t>
          </w:r>
          <w:r>
            <w:rPr>
              <w:lang w:val="en-GB"/>
            </w:rPr>
            <w:fldChar w:fldCharType="end"/>
          </w:r>
        </w:sdtContent>
      </w:sdt>
    </w:p>
    <w:p w:rsidR="0081307A" w:rsidRPr="00183F02" w:rsidRDefault="0081307A">
      <w:pPr>
        <w:rPr>
          <w:b/>
        </w:rPr>
      </w:pPr>
      <w:r w:rsidRPr="00183F02">
        <w:rPr>
          <w:b/>
          <w:color w:val="8EAADB" w:themeColor="accent5" w:themeTint="99"/>
        </w:rPr>
        <w:t>Interprétation des résultats</w:t>
      </w:r>
    </w:p>
    <w:p w:rsidR="00B1214A" w:rsidRPr="00CC728F" w:rsidRDefault="003B5CF4" w:rsidP="003A78BE">
      <w:pPr>
        <w:ind w:firstLine="0"/>
      </w:pPr>
      <w:r w:rsidRPr="00CC728F">
        <w:tab/>
        <w:t>Les résultats sur une carte de restriction peuvent être lus comme les morceaux d'un puzzle et comparés entre différents échantillons d'ADN, qu'ils soient humains (tests de paternité, identification d'une maladie génétique) ou appartenant à des différentes espèces (le Zoo blot).</w:t>
      </w:r>
      <w:r w:rsidR="00B1214A">
        <w:t xml:space="preserve"> </w:t>
      </w:r>
    </w:p>
    <w:sdt>
      <w:sdtPr>
        <w:rPr>
          <w:rFonts w:asciiTheme="minorHAnsi" w:eastAsiaTheme="minorHAnsi" w:hAnsiTheme="minorHAnsi" w:cstheme="minorBidi"/>
          <w:color w:val="auto"/>
          <w:sz w:val="22"/>
          <w:szCs w:val="22"/>
          <w:lang w:eastAsia="en-US"/>
        </w:rPr>
        <w:id w:val="-1623378104"/>
        <w:docPartObj>
          <w:docPartGallery w:val="Bibliographies"/>
          <w:docPartUnique/>
        </w:docPartObj>
      </w:sdtPr>
      <w:sdtEndPr/>
      <w:sdtContent>
        <w:p w:rsidR="003A78BE" w:rsidRDefault="003A78BE">
          <w:pPr>
            <w:pStyle w:val="Titre1"/>
          </w:pPr>
          <w:r>
            <w:t>Bibliographie</w:t>
          </w:r>
        </w:p>
        <w:sdt>
          <w:sdtPr>
            <w:id w:val="111145805"/>
            <w:bibliography/>
          </w:sdtPr>
          <w:sdtEndPr/>
          <w:sdtContent>
            <w:p w:rsidR="00ED5F6E" w:rsidRDefault="003A78BE" w:rsidP="00ED5F6E">
              <w:pPr>
                <w:pStyle w:val="Bibliographie"/>
                <w:ind w:left="720" w:hanging="720"/>
                <w:rPr>
                  <w:noProof/>
                  <w:sz w:val="24"/>
                  <w:szCs w:val="24"/>
                </w:rPr>
              </w:pPr>
              <w:r>
                <w:fldChar w:fldCharType="begin"/>
              </w:r>
              <w:r>
                <w:instrText>BIBLIOGRAPHY</w:instrText>
              </w:r>
              <w:r>
                <w:fldChar w:fldCharType="separate"/>
              </w:r>
              <w:r w:rsidR="00ED5F6E">
                <w:rPr>
                  <w:noProof/>
                </w:rPr>
                <w:t>Demay, F. (s.d.). Récupéré sur Cours B.T.S. BioAnalyses et Contrôles: http://fdanieau.free.fr/cours/bts/A1/biochimie/chapitre7/Restriction.jpg</w:t>
              </w:r>
            </w:p>
            <w:p w:rsidR="00ED5F6E" w:rsidRDefault="00ED5F6E" w:rsidP="00ED5F6E">
              <w:pPr>
                <w:pStyle w:val="Bibliographie"/>
                <w:ind w:left="720" w:hanging="720"/>
                <w:rPr>
                  <w:noProof/>
                </w:rPr>
              </w:pPr>
              <w:r>
                <w:rPr>
                  <w:noProof/>
                </w:rPr>
                <w:lastRenderedPageBreak/>
                <w:t xml:space="preserve">Faculté de Médecine Pierre et Marie Curie. (s.d.). Préparation des acides nucléiques. </w:t>
              </w:r>
              <w:r>
                <w:rPr>
                  <w:i/>
                  <w:iCs/>
                  <w:noProof/>
                </w:rPr>
                <w:t>Caractérisation des acides nucléiques</w:t>
              </w:r>
              <w:r>
                <w:rPr>
                  <w:noProof/>
                </w:rPr>
                <w:t>, (p. 9.9 Southern blot). Paris 06.</w:t>
              </w:r>
            </w:p>
            <w:p w:rsidR="00ED5F6E" w:rsidRDefault="00ED5F6E" w:rsidP="00ED5F6E">
              <w:pPr>
                <w:pStyle w:val="Bibliographie"/>
                <w:ind w:left="720" w:hanging="720"/>
                <w:rPr>
                  <w:noProof/>
                </w:rPr>
              </w:pPr>
              <w:r>
                <w:rPr>
                  <w:noProof/>
                </w:rPr>
                <w:t xml:space="preserve">Maftah, J. (1996). </w:t>
              </w:r>
              <w:r>
                <w:rPr>
                  <w:i/>
                  <w:iCs/>
                  <w:noProof/>
                </w:rPr>
                <w:t>Biologie moléculaire.</w:t>
              </w:r>
              <w:r>
                <w:rPr>
                  <w:noProof/>
                </w:rPr>
                <w:t xml:space="preserve"> Masson.</w:t>
              </w:r>
            </w:p>
            <w:p w:rsidR="00ED5F6E" w:rsidRDefault="00ED5F6E" w:rsidP="00ED5F6E">
              <w:pPr>
                <w:pStyle w:val="Bibliographie"/>
                <w:ind w:left="720" w:hanging="720"/>
                <w:rPr>
                  <w:noProof/>
                </w:rPr>
              </w:pPr>
              <w:r>
                <w:rPr>
                  <w:noProof/>
                </w:rPr>
                <w:t xml:space="preserve">Serre, J.-L. (2002). </w:t>
              </w:r>
              <w:r>
                <w:rPr>
                  <w:i/>
                  <w:iCs/>
                  <w:noProof/>
                </w:rPr>
                <w:t>Les Diagnostics Génétiques.</w:t>
              </w:r>
              <w:r>
                <w:rPr>
                  <w:noProof/>
                </w:rPr>
                <w:t xml:space="preserve"> Paris: Dunod.</w:t>
              </w:r>
            </w:p>
            <w:p w:rsidR="00ED5F6E" w:rsidRPr="00ED5F6E" w:rsidRDefault="00ED5F6E" w:rsidP="00ED5F6E">
              <w:pPr>
                <w:pStyle w:val="Bibliographie"/>
                <w:ind w:left="720" w:hanging="720"/>
                <w:rPr>
                  <w:noProof/>
                  <w:lang w:val="en-GB"/>
                </w:rPr>
              </w:pPr>
              <w:r w:rsidRPr="00ED5F6E">
                <w:rPr>
                  <w:noProof/>
                  <w:lang w:val="en-GB"/>
                </w:rPr>
                <w:t xml:space="preserve">Vàloczi, A. (2004). </w:t>
              </w:r>
              <w:r w:rsidRPr="00ED5F6E">
                <w:rPr>
                  <w:i/>
                  <w:iCs/>
                  <w:noProof/>
                  <w:lang w:val="en-GB"/>
                </w:rPr>
                <w:t>Nucleic Acids Research, Vol 32 No 22, Sensitive ans specific detection of microRNAs by Northern blot analysis using LNA-modified oligonucleotide probes.</w:t>
              </w:r>
              <w:r w:rsidRPr="00ED5F6E">
                <w:rPr>
                  <w:noProof/>
                  <w:lang w:val="en-GB"/>
                </w:rPr>
                <w:t xml:space="preserve"> Vedbaek: Oxford University Press 2004.</w:t>
              </w:r>
            </w:p>
            <w:p w:rsidR="00ED5F6E" w:rsidRPr="00ED5F6E" w:rsidRDefault="00ED5F6E" w:rsidP="00ED5F6E">
              <w:pPr>
                <w:pStyle w:val="Bibliographie"/>
                <w:ind w:left="720" w:hanging="720"/>
                <w:rPr>
                  <w:noProof/>
                  <w:lang w:val="en-GB"/>
                </w:rPr>
              </w:pPr>
              <w:r w:rsidRPr="00ED5F6E">
                <w:rPr>
                  <w:noProof/>
                  <w:lang w:val="en-GB"/>
                </w:rPr>
                <w:t xml:space="preserve">Watson, G. W. (1992). </w:t>
              </w:r>
              <w:r w:rsidRPr="00ED5F6E">
                <w:rPr>
                  <w:i/>
                  <w:iCs/>
                  <w:noProof/>
                  <w:lang w:val="en-GB"/>
                </w:rPr>
                <w:t>ADN Recombinant.</w:t>
              </w:r>
              <w:r w:rsidRPr="00ED5F6E">
                <w:rPr>
                  <w:noProof/>
                  <w:lang w:val="en-GB"/>
                </w:rPr>
                <w:t xml:space="preserve"> De Boeck Université.</w:t>
              </w:r>
            </w:p>
            <w:p w:rsidR="0081307A" w:rsidRPr="0081307A" w:rsidRDefault="003A78BE" w:rsidP="00ED5F6E">
              <w:r>
                <w:rPr>
                  <w:b/>
                  <w:bCs/>
                </w:rPr>
                <w:fldChar w:fldCharType="end"/>
              </w:r>
            </w:p>
          </w:sdtContent>
        </w:sdt>
      </w:sdtContent>
    </w:sdt>
    <w:p w:rsidR="0081307A" w:rsidRPr="0081307A" w:rsidRDefault="0081307A">
      <w:pPr>
        <w:rPr>
          <w:lang w:val="en-GB"/>
        </w:rPr>
      </w:pPr>
      <w:r w:rsidRPr="00183F02">
        <w:rPr>
          <w:b/>
          <w:color w:val="8EAADB" w:themeColor="accent5" w:themeTint="99"/>
          <w:lang w:val="en-GB"/>
        </w:rPr>
        <w:t xml:space="preserve">Auteur </w:t>
      </w:r>
      <w:r>
        <w:rPr>
          <w:lang w:val="en-GB"/>
        </w:rPr>
        <w:t>: Nascinschi Vera, 2014 - 2015</w:t>
      </w:r>
    </w:p>
    <w:sectPr w:rsidR="0081307A" w:rsidRPr="008130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7A"/>
    <w:rsid w:val="00101DFA"/>
    <w:rsid w:val="00142B7E"/>
    <w:rsid w:val="001678FA"/>
    <w:rsid w:val="00171C10"/>
    <w:rsid w:val="00183F02"/>
    <w:rsid w:val="001E53ED"/>
    <w:rsid w:val="001E6CAB"/>
    <w:rsid w:val="00256355"/>
    <w:rsid w:val="002B340D"/>
    <w:rsid w:val="002F012D"/>
    <w:rsid w:val="00363EA8"/>
    <w:rsid w:val="0037076E"/>
    <w:rsid w:val="00393B1B"/>
    <w:rsid w:val="003A78BE"/>
    <w:rsid w:val="003B5CF4"/>
    <w:rsid w:val="00446DAA"/>
    <w:rsid w:val="00451C54"/>
    <w:rsid w:val="004919B6"/>
    <w:rsid w:val="004C3B7B"/>
    <w:rsid w:val="00552488"/>
    <w:rsid w:val="0059743F"/>
    <w:rsid w:val="005E4FFB"/>
    <w:rsid w:val="00691F74"/>
    <w:rsid w:val="00696119"/>
    <w:rsid w:val="007216C2"/>
    <w:rsid w:val="007C2B9A"/>
    <w:rsid w:val="0080130A"/>
    <w:rsid w:val="0081307A"/>
    <w:rsid w:val="008578A5"/>
    <w:rsid w:val="00857BBA"/>
    <w:rsid w:val="008659B1"/>
    <w:rsid w:val="008A453B"/>
    <w:rsid w:val="008D4228"/>
    <w:rsid w:val="008F555D"/>
    <w:rsid w:val="008F7911"/>
    <w:rsid w:val="0091520A"/>
    <w:rsid w:val="00946E17"/>
    <w:rsid w:val="00971B1E"/>
    <w:rsid w:val="009B3D20"/>
    <w:rsid w:val="00A043DD"/>
    <w:rsid w:val="00A81951"/>
    <w:rsid w:val="00AD79C4"/>
    <w:rsid w:val="00AF67FF"/>
    <w:rsid w:val="00B1214A"/>
    <w:rsid w:val="00B24207"/>
    <w:rsid w:val="00B72038"/>
    <w:rsid w:val="00B84829"/>
    <w:rsid w:val="00B861E0"/>
    <w:rsid w:val="00BA0E95"/>
    <w:rsid w:val="00BB7980"/>
    <w:rsid w:val="00C37DD3"/>
    <w:rsid w:val="00C90FF5"/>
    <w:rsid w:val="00CC728F"/>
    <w:rsid w:val="00CD133A"/>
    <w:rsid w:val="00CD5C63"/>
    <w:rsid w:val="00D52830"/>
    <w:rsid w:val="00D665CF"/>
    <w:rsid w:val="00DB4C20"/>
    <w:rsid w:val="00DF5A9A"/>
    <w:rsid w:val="00E26DC7"/>
    <w:rsid w:val="00E80265"/>
    <w:rsid w:val="00ED5F6E"/>
    <w:rsid w:val="00EE4BA0"/>
    <w:rsid w:val="00EF6127"/>
    <w:rsid w:val="00F07C4A"/>
    <w:rsid w:val="00F23A56"/>
    <w:rsid w:val="00F6654E"/>
    <w:rsid w:val="00F872D2"/>
    <w:rsid w:val="00FC3AA5"/>
    <w:rsid w:val="00FC552E"/>
    <w:rsid w:val="00FD1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ED5C3-98A7-4D9C-91A3-2C4DC136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B7E"/>
    <w:pPr>
      <w:spacing w:before="120" w:after="0" w:line="360" w:lineRule="auto"/>
      <w:ind w:firstLine="567"/>
      <w:jc w:val="both"/>
    </w:pPr>
  </w:style>
  <w:style w:type="paragraph" w:styleId="Titre1">
    <w:name w:val="heading 1"/>
    <w:basedOn w:val="Normal"/>
    <w:next w:val="Normal"/>
    <w:link w:val="Titre1Car"/>
    <w:uiPriority w:val="9"/>
    <w:qFormat/>
    <w:rsid w:val="003A78BE"/>
    <w:pPr>
      <w:keepNext/>
      <w:keepLines/>
      <w:spacing w:before="240" w:line="259" w:lineRule="auto"/>
      <w:ind w:firstLine="0"/>
      <w:jc w:val="left"/>
      <w:outlineLvl w:val="0"/>
    </w:pPr>
    <w:rPr>
      <w:rFonts w:asciiTheme="majorHAnsi" w:eastAsiaTheme="majorEastAsia" w:hAnsiTheme="majorHAnsi" w:cstheme="majorBidi"/>
      <w:color w:val="2E74B5" w:themeColor="accent1" w:themeShade="BF"/>
      <w:sz w:val="32"/>
      <w:szCs w:val="32"/>
      <w:lang w:eastAsia="fr-FR"/>
    </w:rPr>
  </w:style>
  <w:style w:type="paragraph" w:styleId="Titre2">
    <w:name w:val="heading 2"/>
    <w:basedOn w:val="Normal"/>
    <w:next w:val="Normal"/>
    <w:link w:val="Titre2Car"/>
    <w:uiPriority w:val="9"/>
    <w:unhideWhenUsed/>
    <w:qFormat/>
    <w:rsid w:val="00142B7E"/>
    <w:pPr>
      <w:keepNext/>
      <w:keepLines/>
      <w:pBdr>
        <w:left w:val="single" w:sz="8" w:space="4" w:color="auto"/>
        <w:bottom w:val="single" w:sz="8" w:space="1" w:color="auto"/>
      </w:pBdr>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42B7E"/>
    <w:rPr>
      <w:rFonts w:asciiTheme="majorHAnsi" w:eastAsiaTheme="majorEastAsia" w:hAnsiTheme="majorHAnsi" w:cstheme="majorBidi"/>
      <w:color w:val="2E74B5" w:themeColor="accent1" w:themeShade="BF"/>
      <w:sz w:val="26"/>
      <w:szCs w:val="26"/>
    </w:rPr>
  </w:style>
  <w:style w:type="paragraph" w:styleId="Lgende">
    <w:name w:val="caption"/>
    <w:basedOn w:val="Normal"/>
    <w:next w:val="Normal"/>
    <w:uiPriority w:val="35"/>
    <w:unhideWhenUsed/>
    <w:qFormat/>
    <w:rsid w:val="00363EA8"/>
    <w:pPr>
      <w:spacing w:before="0" w:after="200" w:line="240" w:lineRule="auto"/>
    </w:pPr>
    <w:rPr>
      <w:i/>
      <w:iCs/>
      <w:color w:val="44546A" w:themeColor="text2"/>
      <w:sz w:val="18"/>
      <w:szCs w:val="18"/>
    </w:rPr>
  </w:style>
  <w:style w:type="character" w:styleId="Lienhypertexte">
    <w:name w:val="Hyperlink"/>
    <w:basedOn w:val="Policepardfaut"/>
    <w:uiPriority w:val="99"/>
    <w:unhideWhenUsed/>
    <w:rsid w:val="004919B6"/>
    <w:rPr>
      <w:color w:val="0563C1" w:themeColor="hyperlink"/>
      <w:u w:val="single"/>
    </w:rPr>
  </w:style>
  <w:style w:type="character" w:customStyle="1" w:styleId="Titre1Car">
    <w:name w:val="Titre 1 Car"/>
    <w:basedOn w:val="Policepardfaut"/>
    <w:link w:val="Titre1"/>
    <w:uiPriority w:val="9"/>
    <w:rsid w:val="003A78BE"/>
    <w:rPr>
      <w:rFonts w:asciiTheme="majorHAnsi" w:eastAsiaTheme="majorEastAsia" w:hAnsiTheme="majorHAnsi" w:cstheme="majorBidi"/>
      <w:color w:val="2E74B5" w:themeColor="accent1" w:themeShade="BF"/>
      <w:sz w:val="32"/>
      <w:szCs w:val="32"/>
      <w:lang w:eastAsia="fr-FR"/>
    </w:rPr>
  </w:style>
  <w:style w:type="paragraph" w:styleId="Bibliographie">
    <w:name w:val="Bibliography"/>
    <w:basedOn w:val="Normal"/>
    <w:next w:val="Normal"/>
    <w:uiPriority w:val="37"/>
    <w:unhideWhenUsed/>
    <w:rsid w:val="003A7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416">
      <w:bodyDiv w:val="1"/>
      <w:marLeft w:val="0"/>
      <w:marRight w:val="0"/>
      <w:marTop w:val="0"/>
      <w:marBottom w:val="0"/>
      <w:divBdr>
        <w:top w:val="none" w:sz="0" w:space="0" w:color="auto"/>
        <w:left w:val="none" w:sz="0" w:space="0" w:color="auto"/>
        <w:bottom w:val="none" w:sz="0" w:space="0" w:color="auto"/>
        <w:right w:val="none" w:sz="0" w:space="0" w:color="auto"/>
      </w:divBdr>
    </w:div>
    <w:div w:id="31468725">
      <w:bodyDiv w:val="1"/>
      <w:marLeft w:val="0"/>
      <w:marRight w:val="0"/>
      <w:marTop w:val="0"/>
      <w:marBottom w:val="0"/>
      <w:divBdr>
        <w:top w:val="none" w:sz="0" w:space="0" w:color="auto"/>
        <w:left w:val="none" w:sz="0" w:space="0" w:color="auto"/>
        <w:bottom w:val="none" w:sz="0" w:space="0" w:color="auto"/>
        <w:right w:val="none" w:sz="0" w:space="0" w:color="auto"/>
      </w:divBdr>
    </w:div>
    <w:div w:id="107628666">
      <w:bodyDiv w:val="1"/>
      <w:marLeft w:val="0"/>
      <w:marRight w:val="0"/>
      <w:marTop w:val="0"/>
      <w:marBottom w:val="0"/>
      <w:divBdr>
        <w:top w:val="none" w:sz="0" w:space="0" w:color="auto"/>
        <w:left w:val="none" w:sz="0" w:space="0" w:color="auto"/>
        <w:bottom w:val="none" w:sz="0" w:space="0" w:color="auto"/>
        <w:right w:val="none" w:sz="0" w:space="0" w:color="auto"/>
      </w:divBdr>
    </w:div>
    <w:div w:id="118647807">
      <w:bodyDiv w:val="1"/>
      <w:marLeft w:val="0"/>
      <w:marRight w:val="0"/>
      <w:marTop w:val="0"/>
      <w:marBottom w:val="0"/>
      <w:divBdr>
        <w:top w:val="none" w:sz="0" w:space="0" w:color="auto"/>
        <w:left w:val="none" w:sz="0" w:space="0" w:color="auto"/>
        <w:bottom w:val="none" w:sz="0" w:space="0" w:color="auto"/>
        <w:right w:val="none" w:sz="0" w:space="0" w:color="auto"/>
      </w:divBdr>
    </w:div>
    <w:div w:id="173032643">
      <w:bodyDiv w:val="1"/>
      <w:marLeft w:val="0"/>
      <w:marRight w:val="0"/>
      <w:marTop w:val="0"/>
      <w:marBottom w:val="0"/>
      <w:divBdr>
        <w:top w:val="none" w:sz="0" w:space="0" w:color="auto"/>
        <w:left w:val="none" w:sz="0" w:space="0" w:color="auto"/>
        <w:bottom w:val="none" w:sz="0" w:space="0" w:color="auto"/>
        <w:right w:val="none" w:sz="0" w:space="0" w:color="auto"/>
      </w:divBdr>
    </w:div>
    <w:div w:id="190916591">
      <w:bodyDiv w:val="1"/>
      <w:marLeft w:val="0"/>
      <w:marRight w:val="0"/>
      <w:marTop w:val="0"/>
      <w:marBottom w:val="0"/>
      <w:divBdr>
        <w:top w:val="none" w:sz="0" w:space="0" w:color="auto"/>
        <w:left w:val="none" w:sz="0" w:space="0" w:color="auto"/>
        <w:bottom w:val="none" w:sz="0" w:space="0" w:color="auto"/>
        <w:right w:val="none" w:sz="0" w:space="0" w:color="auto"/>
      </w:divBdr>
    </w:div>
    <w:div w:id="207643762">
      <w:bodyDiv w:val="1"/>
      <w:marLeft w:val="0"/>
      <w:marRight w:val="0"/>
      <w:marTop w:val="0"/>
      <w:marBottom w:val="0"/>
      <w:divBdr>
        <w:top w:val="none" w:sz="0" w:space="0" w:color="auto"/>
        <w:left w:val="none" w:sz="0" w:space="0" w:color="auto"/>
        <w:bottom w:val="none" w:sz="0" w:space="0" w:color="auto"/>
        <w:right w:val="none" w:sz="0" w:space="0" w:color="auto"/>
      </w:divBdr>
    </w:div>
    <w:div w:id="276718596">
      <w:bodyDiv w:val="1"/>
      <w:marLeft w:val="0"/>
      <w:marRight w:val="0"/>
      <w:marTop w:val="0"/>
      <w:marBottom w:val="0"/>
      <w:divBdr>
        <w:top w:val="none" w:sz="0" w:space="0" w:color="auto"/>
        <w:left w:val="none" w:sz="0" w:space="0" w:color="auto"/>
        <w:bottom w:val="none" w:sz="0" w:space="0" w:color="auto"/>
        <w:right w:val="none" w:sz="0" w:space="0" w:color="auto"/>
      </w:divBdr>
    </w:div>
    <w:div w:id="393283132">
      <w:bodyDiv w:val="1"/>
      <w:marLeft w:val="0"/>
      <w:marRight w:val="0"/>
      <w:marTop w:val="0"/>
      <w:marBottom w:val="0"/>
      <w:divBdr>
        <w:top w:val="none" w:sz="0" w:space="0" w:color="auto"/>
        <w:left w:val="none" w:sz="0" w:space="0" w:color="auto"/>
        <w:bottom w:val="none" w:sz="0" w:space="0" w:color="auto"/>
        <w:right w:val="none" w:sz="0" w:space="0" w:color="auto"/>
      </w:divBdr>
    </w:div>
    <w:div w:id="404885753">
      <w:bodyDiv w:val="1"/>
      <w:marLeft w:val="0"/>
      <w:marRight w:val="0"/>
      <w:marTop w:val="0"/>
      <w:marBottom w:val="0"/>
      <w:divBdr>
        <w:top w:val="none" w:sz="0" w:space="0" w:color="auto"/>
        <w:left w:val="none" w:sz="0" w:space="0" w:color="auto"/>
        <w:bottom w:val="none" w:sz="0" w:space="0" w:color="auto"/>
        <w:right w:val="none" w:sz="0" w:space="0" w:color="auto"/>
      </w:divBdr>
    </w:div>
    <w:div w:id="405110408">
      <w:bodyDiv w:val="1"/>
      <w:marLeft w:val="0"/>
      <w:marRight w:val="0"/>
      <w:marTop w:val="0"/>
      <w:marBottom w:val="0"/>
      <w:divBdr>
        <w:top w:val="none" w:sz="0" w:space="0" w:color="auto"/>
        <w:left w:val="none" w:sz="0" w:space="0" w:color="auto"/>
        <w:bottom w:val="none" w:sz="0" w:space="0" w:color="auto"/>
        <w:right w:val="none" w:sz="0" w:space="0" w:color="auto"/>
      </w:divBdr>
    </w:div>
    <w:div w:id="412823843">
      <w:bodyDiv w:val="1"/>
      <w:marLeft w:val="0"/>
      <w:marRight w:val="0"/>
      <w:marTop w:val="0"/>
      <w:marBottom w:val="0"/>
      <w:divBdr>
        <w:top w:val="none" w:sz="0" w:space="0" w:color="auto"/>
        <w:left w:val="none" w:sz="0" w:space="0" w:color="auto"/>
        <w:bottom w:val="none" w:sz="0" w:space="0" w:color="auto"/>
        <w:right w:val="none" w:sz="0" w:space="0" w:color="auto"/>
      </w:divBdr>
    </w:div>
    <w:div w:id="424808406">
      <w:bodyDiv w:val="1"/>
      <w:marLeft w:val="0"/>
      <w:marRight w:val="0"/>
      <w:marTop w:val="0"/>
      <w:marBottom w:val="0"/>
      <w:divBdr>
        <w:top w:val="none" w:sz="0" w:space="0" w:color="auto"/>
        <w:left w:val="none" w:sz="0" w:space="0" w:color="auto"/>
        <w:bottom w:val="none" w:sz="0" w:space="0" w:color="auto"/>
        <w:right w:val="none" w:sz="0" w:space="0" w:color="auto"/>
      </w:divBdr>
    </w:div>
    <w:div w:id="452866858">
      <w:bodyDiv w:val="1"/>
      <w:marLeft w:val="0"/>
      <w:marRight w:val="0"/>
      <w:marTop w:val="0"/>
      <w:marBottom w:val="0"/>
      <w:divBdr>
        <w:top w:val="none" w:sz="0" w:space="0" w:color="auto"/>
        <w:left w:val="none" w:sz="0" w:space="0" w:color="auto"/>
        <w:bottom w:val="none" w:sz="0" w:space="0" w:color="auto"/>
        <w:right w:val="none" w:sz="0" w:space="0" w:color="auto"/>
      </w:divBdr>
    </w:div>
    <w:div w:id="499153087">
      <w:bodyDiv w:val="1"/>
      <w:marLeft w:val="0"/>
      <w:marRight w:val="0"/>
      <w:marTop w:val="0"/>
      <w:marBottom w:val="0"/>
      <w:divBdr>
        <w:top w:val="none" w:sz="0" w:space="0" w:color="auto"/>
        <w:left w:val="none" w:sz="0" w:space="0" w:color="auto"/>
        <w:bottom w:val="none" w:sz="0" w:space="0" w:color="auto"/>
        <w:right w:val="none" w:sz="0" w:space="0" w:color="auto"/>
      </w:divBdr>
    </w:div>
    <w:div w:id="523372755">
      <w:bodyDiv w:val="1"/>
      <w:marLeft w:val="0"/>
      <w:marRight w:val="0"/>
      <w:marTop w:val="0"/>
      <w:marBottom w:val="0"/>
      <w:divBdr>
        <w:top w:val="none" w:sz="0" w:space="0" w:color="auto"/>
        <w:left w:val="none" w:sz="0" w:space="0" w:color="auto"/>
        <w:bottom w:val="none" w:sz="0" w:space="0" w:color="auto"/>
        <w:right w:val="none" w:sz="0" w:space="0" w:color="auto"/>
      </w:divBdr>
    </w:div>
    <w:div w:id="577714655">
      <w:bodyDiv w:val="1"/>
      <w:marLeft w:val="0"/>
      <w:marRight w:val="0"/>
      <w:marTop w:val="0"/>
      <w:marBottom w:val="0"/>
      <w:divBdr>
        <w:top w:val="none" w:sz="0" w:space="0" w:color="auto"/>
        <w:left w:val="none" w:sz="0" w:space="0" w:color="auto"/>
        <w:bottom w:val="none" w:sz="0" w:space="0" w:color="auto"/>
        <w:right w:val="none" w:sz="0" w:space="0" w:color="auto"/>
      </w:divBdr>
    </w:div>
    <w:div w:id="612640511">
      <w:bodyDiv w:val="1"/>
      <w:marLeft w:val="0"/>
      <w:marRight w:val="0"/>
      <w:marTop w:val="0"/>
      <w:marBottom w:val="0"/>
      <w:divBdr>
        <w:top w:val="none" w:sz="0" w:space="0" w:color="auto"/>
        <w:left w:val="none" w:sz="0" w:space="0" w:color="auto"/>
        <w:bottom w:val="none" w:sz="0" w:space="0" w:color="auto"/>
        <w:right w:val="none" w:sz="0" w:space="0" w:color="auto"/>
      </w:divBdr>
    </w:div>
    <w:div w:id="726564701">
      <w:bodyDiv w:val="1"/>
      <w:marLeft w:val="0"/>
      <w:marRight w:val="0"/>
      <w:marTop w:val="0"/>
      <w:marBottom w:val="0"/>
      <w:divBdr>
        <w:top w:val="none" w:sz="0" w:space="0" w:color="auto"/>
        <w:left w:val="none" w:sz="0" w:space="0" w:color="auto"/>
        <w:bottom w:val="none" w:sz="0" w:space="0" w:color="auto"/>
        <w:right w:val="none" w:sz="0" w:space="0" w:color="auto"/>
      </w:divBdr>
    </w:div>
    <w:div w:id="728186852">
      <w:bodyDiv w:val="1"/>
      <w:marLeft w:val="0"/>
      <w:marRight w:val="0"/>
      <w:marTop w:val="0"/>
      <w:marBottom w:val="0"/>
      <w:divBdr>
        <w:top w:val="none" w:sz="0" w:space="0" w:color="auto"/>
        <w:left w:val="none" w:sz="0" w:space="0" w:color="auto"/>
        <w:bottom w:val="none" w:sz="0" w:space="0" w:color="auto"/>
        <w:right w:val="none" w:sz="0" w:space="0" w:color="auto"/>
      </w:divBdr>
    </w:div>
    <w:div w:id="731588465">
      <w:bodyDiv w:val="1"/>
      <w:marLeft w:val="0"/>
      <w:marRight w:val="0"/>
      <w:marTop w:val="0"/>
      <w:marBottom w:val="0"/>
      <w:divBdr>
        <w:top w:val="none" w:sz="0" w:space="0" w:color="auto"/>
        <w:left w:val="none" w:sz="0" w:space="0" w:color="auto"/>
        <w:bottom w:val="none" w:sz="0" w:space="0" w:color="auto"/>
        <w:right w:val="none" w:sz="0" w:space="0" w:color="auto"/>
      </w:divBdr>
    </w:div>
    <w:div w:id="746658918">
      <w:bodyDiv w:val="1"/>
      <w:marLeft w:val="0"/>
      <w:marRight w:val="0"/>
      <w:marTop w:val="0"/>
      <w:marBottom w:val="0"/>
      <w:divBdr>
        <w:top w:val="none" w:sz="0" w:space="0" w:color="auto"/>
        <w:left w:val="none" w:sz="0" w:space="0" w:color="auto"/>
        <w:bottom w:val="none" w:sz="0" w:space="0" w:color="auto"/>
        <w:right w:val="none" w:sz="0" w:space="0" w:color="auto"/>
      </w:divBdr>
    </w:div>
    <w:div w:id="763116482">
      <w:bodyDiv w:val="1"/>
      <w:marLeft w:val="0"/>
      <w:marRight w:val="0"/>
      <w:marTop w:val="0"/>
      <w:marBottom w:val="0"/>
      <w:divBdr>
        <w:top w:val="none" w:sz="0" w:space="0" w:color="auto"/>
        <w:left w:val="none" w:sz="0" w:space="0" w:color="auto"/>
        <w:bottom w:val="none" w:sz="0" w:space="0" w:color="auto"/>
        <w:right w:val="none" w:sz="0" w:space="0" w:color="auto"/>
      </w:divBdr>
    </w:div>
    <w:div w:id="777216727">
      <w:bodyDiv w:val="1"/>
      <w:marLeft w:val="0"/>
      <w:marRight w:val="0"/>
      <w:marTop w:val="0"/>
      <w:marBottom w:val="0"/>
      <w:divBdr>
        <w:top w:val="none" w:sz="0" w:space="0" w:color="auto"/>
        <w:left w:val="none" w:sz="0" w:space="0" w:color="auto"/>
        <w:bottom w:val="none" w:sz="0" w:space="0" w:color="auto"/>
        <w:right w:val="none" w:sz="0" w:space="0" w:color="auto"/>
      </w:divBdr>
    </w:div>
    <w:div w:id="936255855">
      <w:bodyDiv w:val="1"/>
      <w:marLeft w:val="0"/>
      <w:marRight w:val="0"/>
      <w:marTop w:val="0"/>
      <w:marBottom w:val="0"/>
      <w:divBdr>
        <w:top w:val="none" w:sz="0" w:space="0" w:color="auto"/>
        <w:left w:val="none" w:sz="0" w:space="0" w:color="auto"/>
        <w:bottom w:val="none" w:sz="0" w:space="0" w:color="auto"/>
        <w:right w:val="none" w:sz="0" w:space="0" w:color="auto"/>
      </w:divBdr>
    </w:div>
    <w:div w:id="951742087">
      <w:bodyDiv w:val="1"/>
      <w:marLeft w:val="0"/>
      <w:marRight w:val="0"/>
      <w:marTop w:val="0"/>
      <w:marBottom w:val="0"/>
      <w:divBdr>
        <w:top w:val="none" w:sz="0" w:space="0" w:color="auto"/>
        <w:left w:val="none" w:sz="0" w:space="0" w:color="auto"/>
        <w:bottom w:val="none" w:sz="0" w:space="0" w:color="auto"/>
        <w:right w:val="none" w:sz="0" w:space="0" w:color="auto"/>
      </w:divBdr>
    </w:div>
    <w:div w:id="1274821021">
      <w:bodyDiv w:val="1"/>
      <w:marLeft w:val="0"/>
      <w:marRight w:val="0"/>
      <w:marTop w:val="0"/>
      <w:marBottom w:val="0"/>
      <w:divBdr>
        <w:top w:val="none" w:sz="0" w:space="0" w:color="auto"/>
        <w:left w:val="none" w:sz="0" w:space="0" w:color="auto"/>
        <w:bottom w:val="none" w:sz="0" w:space="0" w:color="auto"/>
        <w:right w:val="none" w:sz="0" w:space="0" w:color="auto"/>
      </w:divBdr>
    </w:div>
    <w:div w:id="1317995006">
      <w:bodyDiv w:val="1"/>
      <w:marLeft w:val="0"/>
      <w:marRight w:val="0"/>
      <w:marTop w:val="0"/>
      <w:marBottom w:val="0"/>
      <w:divBdr>
        <w:top w:val="none" w:sz="0" w:space="0" w:color="auto"/>
        <w:left w:val="none" w:sz="0" w:space="0" w:color="auto"/>
        <w:bottom w:val="none" w:sz="0" w:space="0" w:color="auto"/>
        <w:right w:val="none" w:sz="0" w:space="0" w:color="auto"/>
      </w:divBdr>
    </w:div>
    <w:div w:id="1332757996">
      <w:bodyDiv w:val="1"/>
      <w:marLeft w:val="0"/>
      <w:marRight w:val="0"/>
      <w:marTop w:val="0"/>
      <w:marBottom w:val="0"/>
      <w:divBdr>
        <w:top w:val="none" w:sz="0" w:space="0" w:color="auto"/>
        <w:left w:val="none" w:sz="0" w:space="0" w:color="auto"/>
        <w:bottom w:val="none" w:sz="0" w:space="0" w:color="auto"/>
        <w:right w:val="none" w:sz="0" w:space="0" w:color="auto"/>
      </w:divBdr>
    </w:div>
    <w:div w:id="1345208943">
      <w:bodyDiv w:val="1"/>
      <w:marLeft w:val="0"/>
      <w:marRight w:val="0"/>
      <w:marTop w:val="0"/>
      <w:marBottom w:val="0"/>
      <w:divBdr>
        <w:top w:val="none" w:sz="0" w:space="0" w:color="auto"/>
        <w:left w:val="none" w:sz="0" w:space="0" w:color="auto"/>
        <w:bottom w:val="none" w:sz="0" w:space="0" w:color="auto"/>
        <w:right w:val="none" w:sz="0" w:space="0" w:color="auto"/>
      </w:divBdr>
    </w:div>
    <w:div w:id="1555384459">
      <w:bodyDiv w:val="1"/>
      <w:marLeft w:val="0"/>
      <w:marRight w:val="0"/>
      <w:marTop w:val="0"/>
      <w:marBottom w:val="0"/>
      <w:divBdr>
        <w:top w:val="none" w:sz="0" w:space="0" w:color="auto"/>
        <w:left w:val="none" w:sz="0" w:space="0" w:color="auto"/>
        <w:bottom w:val="none" w:sz="0" w:space="0" w:color="auto"/>
        <w:right w:val="none" w:sz="0" w:space="0" w:color="auto"/>
      </w:divBdr>
    </w:div>
    <w:div w:id="1567959533">
      <w:bodyDiv w:val="1"/>
      <w:marLeft w:val="0"/>
      <w:marRight w:val="0"/>
      <w:marTop w:val="0"/>
      <w:marBottom w:val="0"/>
      <w:divBdr>
        <w:top w:val="none" w:sz="0" w:space="0" w:color="auto"/>
        <w:left w:val="none" w:sz="0" w:space="0" w:color="auto"/>
        <w:bottom w:val="none" w:sz="0" w:space="0" w:color="auto"/>
        <w:right w:val="none" w:sz="0" w:space="0" w:color="auto"/>
      </w:divBdr>
    </w:div>
    <w:div w:id="1608930779">
      <w:bodyDiv w:val="1"/>
      <w:marLeft w:val="0"/>
      <w:marRight w:val="0"/>
      <w:marTop w:val="0"/>
      <w:marBottom w:val="0"/>
      <w:divBdr>
        <w:top w:val="none" w:sz="0" w:space="0" w:color="auto"/>
        <w:left w:val="none" w:sz="0" w:space="0" w:color="auto"/>
        <w:bottom w:val="none" w:sz="0" w:space="0" w:color="auto"/>
        <w:right w:val="none" w:sz="0" w:space="0" w:color="auto"/>
      </w:divBdr>
    </w:div>
    <w:div w:id="1657341123">
      <w:bodyDiv w:val="1"/>
      <w:marLeft w:val="0"/>
      <w:marRight w:val="0"/>
      <w:marTop w:val="0"/>
      <w:marBottom w:val="0"/>
      <w:divBdr>
        <w:top w:val="none" w:sz="0" w:space="0" w:color="auto"/>
        <w:left w:val="none" w:sz="0" w:space="0" w:color="auto"/>
        <w:bottom w:val="none" w:sz="0" w:space="0" w:color="auto"/>
        <w:right w:val="none" w:sz="0" w:space="0" w:color="auto"/>
      </w:divBdr>
    </w:div>
    <w:div w:id="1731952610">
      <w:bodyDiv w:val="1"/>
      <w:marLeft w:val="0"/>
      <w:marRight w:val="0"/>
      <w:marTop w:val="0"/>
      <w:marBottom w:val="0"/>
      <w:divBdr>
        <w:top w:val="none" w:sz="0" w:space="0" w:color="auto"/>
        <w:left w:val="none" w:sz="0" w:space="0" w:color="auto"/>
        <w:bottom w:val="none" w:sz="0" w:space="0" w:color="auto"/>
        <w:right w:val="none" w:sz="0" w:space="0" w:color="auto"/>
      </w:divBdr>
    </w:div>
    <w:div w:id="1762683744">
      <w:bodyDiv w:val="1"/>
      <w:marLeft w:val="0"/>
      <w:marRight w:val="0"/>
      <w:marTop w:val="0"/>
      <w:marBottom w:val="0"/>
      <w:divBdr>
        <w:top w:val="none" w:sz="0" w:space="0" w:color="auto"/>
        <w:left w:val="none" w:sz="0" w:space="0" w:color="auto"/>
        <w:bottom w:val="none" w:sz="0" w:space="0" w:color="auto"/>
        <w:right w:val="none" w:sz="0" w:space="0" w:color="auto"/>
      </w:divBdr>
    </w:div>
    <w:div w:id="1763145165">
      <w:bodyDiv w:val="1"/>
      <w:marLeft w:val="0"/>
      <w:marRight w:val="0"/>
      <w:marTop w:val="0"/>
      <w:marBottom w:val="0"/>
      <w:divBdr>
        <w:top w:val="none" w:sz="0" w:space="0" w:color="auto"/>
        <w:left w:val="none" w:sz="0" w:space="0" w:color="auto"/>
        <w:bottom w:val="none" w:sz="0" w:space="0" w:color="auto"/>
        <w:right w:val="none" w:sz="0" w:space="0" w:color="auto"/>
      </w:divBdr>
    </w:div>
    <w:div w:id="1821649784">
      <w:bodyDiv w:val="1"/>
      <w:marLeft w:val="0"/>
      <w:marRight w:val="0"/>
      <w:marTop w:val="0"/>
      <w:marBottom w:val="0"/>
      <w:divBdr>
        <w:top w:val="none" w:sz="0" w:space="0" w:color="auto"/>
        <w:left w:val="none" w:sz="0" w:space="0" w:color="auto"/>
        <w:bottom w:val="none" w:sz="0" w:space="0" w:color="auto"/>
        <w:right w:val="none" w:sz="0" w:space="0" w:color="auto"/>
      </w:divBdr>
    </w:div>
    <w:div w:id="1869103494">
      <w:bodyDiv w:val="1"/>
      <w:marLeft w:val="0"/>
      <w:marRight w:val="0"/>
      <w:marTop w:val="0"/>
      <w:marBottom w:val="0"/>
      <w:divBdr>
        <w:top w:val="none" w:sz="0" w:space="0" w:color="auto"/>
        <w:left w:val="none" w:sz="0" w:space="0" w:color="auto"/>
        <w:bottom w:val="none" w:sz="0" w:space="0" w:color="auto"/>
        <w:right w:val="none" w:sz="0" w:space="0" w:color="auto"/>
      </w:divBdr>
    </w:div>
    <w:div w:id="1870608722">
      <w:bodyDiv w:val="1"/>
      <w:marLeft w:val="0"/>
      <w:marRight w:val="0"/>
      <w:marTop w:val="0"/>
      <w:marBottom w:val="0"/>
      <w:divBdr>
        <w:top w:val="none" w:sz="0" w:space="0" w:color="auto"/>
        <w:left w:val="none" w:sz="0" w:space="0" w:color="auto"/>
        <w:bottom w:val="none" w:sz="0" w:space="0" w:color="auto"/>
        <w:right w:val="none" w:sz="0" w:space="0" w:color="auto"/>
      </w:divBdr>
    </w:div>
    <w:div w:id="1881354161">
      <w:bodyDiv w:val="1"/>
      <w:marLeft w:val="0"/>
      <w:marRight w:val="0"/>
      <w:marTop w:val="0"/>
      <w:marBottom w:val="0"/>
      <w:divBdr>
        <w:top w:val="none" w:sz="0" w:space="0" w:color="auto"/>
        <w:left w:val="none" w:sz="0" w:space="0" w:color="auto"/>
        <w:bottom w:val="none" w:sz="0" w:space="0" w:color="auto"/>
        <w:right w:val="none" w:sz="0" w:space="0" w:color="auto"/>
      </w:divBdr>
    </w:div>
    <w:div w:id="1893616144">
      <w:bodyDiv w:val="1"/>
      <w:marLeft w:val="0"/>
      <w:marRight w:val="0"/>
      <w:marTop w:val="0"/>
      <w:marBottom w:val="0"/>
      <w:divBdr>
        <w:top w:val="none" w:sz="0" w:space="0" w:color="auto"/>
        <w:left w:val="none" w:sz="0" w:space="0" w:color="auto"/>
        <w:bottom w:val="none" w:sz="0" w:space="0" w:color="auto"/>
        <w:right w:val="none" w:sz="0" w:space="0" w:color="auto"/>
      </w:divBdr>
    </w:div>
    <w:div w:id="1927691472">
      <w:bodyDiv w:val="1"/>
      <w:marLeft w:val="0"/>
      <w:marRight w:val="0"/>
      <w:marTop w:val="0"/>
      <w:marBottom w:val="0"/>
      <w:divBdr>
        <w:top w:val="none" w:sz="0" w:space="0" w:color="auto"/>
        <w:left w:val="none" w:sz="0" w:space="0" w:color="auto"/>
        <w:bottom w:val="none" w:sz="0" w:space="0" w:color="auto"/>
        <w:right w:val="none" w:sz="0" w:space="0" w:color="auto"/>
      </w:divBdr>
    </w:div>
    <w:div w:id="1932203975">
      <w:bodyDiv w:val="1"/>
      <w:marLeft w:val="0"/>
      <w:marRight w:val="0"/>
      <w:marTop w:val="0"/>
      <w:marBottom w:val="0"/>
      <w:divBdr>
        <w:top w:val="none" w:sz="0" w:space="0" w:color="auto"/>
        <w:left w:val="none" w:sz="0" w:space="0" w:color="auto"/>
        <w:bottom w:val="none" w:sz="0" w:space="0" w:color="auto"/>
        <w:right w:val="none" w:sz="0" w:space="0" w:color="auto"/>
      </w:divBdr>
    </w:div>
    <w:div w:id="2018341535">
      <w:bodyDiv w:val="1"/>
      <w:marLeft w:val="0"/>
      <w:marRight w:val="0"/>
      <w:marTop w:val="0"/>
      <w:marBottom w:val="0"/>
      <w:divBdr>
        <w:top w:val="none" w:sz="0" w:space="0" w:color="auto"/>
        <w:left w:val="none" w:sz="0" w:space="0" w:color="auto"/>
        <w:bottom w:val="none" w:sz="0" w:space="0" w:color="auto"/>
        <w:right w:val="none" w:sz="0" w:space="0" w:color="auto"/>
      </w:divBdr>
    </w:div>
    <w:div w:id="2128116010">
      <w:bodyDiv w:val="1"/>
      <w:marLeft w:val="0"/>
      <w:marRight w:val="0"/>
      <w:marTop w:val="0"/>
      <w:marBottom w:val="0"/>
      <w:divBdr>
        <w:top w:val="none" w:sz="0" w:space="0" w:color="auto"/>
        <w:left w:val="none" w:sz="0" w:space="0" w:color="auto"/>
        <w:bottom w:val="none" w:sz="0" w:space="0" w:color="auto"/>
        <w:right w:val="none" w:sz="0" w:space="0" w:color="auto"/>
      </w:divBdr>
    </w:div>
    <w:div w:id="214561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Wat92</b:Tag>
    <b:SourceType>Book</b:SourceType>
    <b:Guid>{4A888BA0-DBC0-4790-9FB0-C42B66E9A862}</b:Guid>
    <b:Title>ADN Recombinant</b:Title>
    <b:Year>1992</b:Year>
    <b:Publisher>De Boeck Université</b:Publisher>
    <b:Author>
      <b:Author>
        <b:NameList>
          <b:Person>
            <b:Last>Watson</b:Last>
            <b:First>Gilman,</b:First>
            <b:Middle>Witkowski, Zoller</b:Middle>
          </b:Person>
        </b:NameList>
      </b:Author>
    </b:Author>
    <b:RefOrder>2</b:RefOrder>
  </b:Source>
  <b:Source>
    <b:Tag>Fac</b:Tag>
    <b:SourceType>ConferenceProceedings</b:SourceType>
    <b:Guid>{61647516-B37E-4B37-B9D4-251A27FA55EC}</b:Guid>
    <b:Author>
      <b:Author>
        <b:Corporate>Faculté de Médecine Pierre et Marie Curie</b:Corporate>
      </b:Author>
    </b:Author>
    <b:Title>Préparation des acides nucléiques</b:Title>
    <b:Pages>9.9 Southern blot</b:Pages>
    <b:ConferenceName>Caractérisation des acides nucléiques</b:ConferenceName>
    <b:City>Paris 06</b:City>
    <b:RefOrder>1</b:RefOrder>
  </b:Source>
  <b:Source>
    <b:Tag>Abd96</b:Tag>
    <b:SourceType>Book</b:SourceType>
    <b:Guid>{EF19E3EE-EBA3-47E2-AD5D-FC5FFDBF4642}</b:Guid>
    <b:Author>
      <b:Author>
        <b:NameList>
          <b:Person>
            <b:Last>Maftah</b:Last>
            <b:First>Julien</b:First>
          </b:Person>
        </b:NameList>
      </b:Author>
    </b:Author>
    <b:Title>Biologie moléculaire</b:Title>
    <b:Year>1996</b:Year>
    <b:Publisher>Masson</b:Publisher>
    <b:RefOrder>3</b:RefOrder>
  </b:Source>
  <b:Source>
    <b:Tag>Jea02</b:Tag>
    <b:SourceType>Book</b:SourceType>
    <b:Guid>{7D8FAAAD-717C-4DB8-A2F9-CAA2A9EC2B06}</b:Guid>
    <b:Author>
      <b:Author>
        <b:NameList>
          <b:Person>
            <b:Last>Serre</b:Last>
            <b:First>Jean-Louis</b:First>
          </b:Person>
        </b:NameList>
      </b:Author>
    </b:Author>
    <b:Title>Les Diagnostics Génétiques</b:Title>
    <b:Year>2002</b:Year>
    <b:City>Paris</b:City>
    <b:Publisher>Dunod</b:Publisher>
    <b:RefOrder>4</b:RefOrder>
  </b:Source>
  <b:Source>
    <b:Tag>Fan</b:Tag>
    <b:SourceType>DocumentFromInternetSite</b:SourceType>
    <b:Guid>{BAF654D5-4D8E-400B-888A-7A48B7B54FF3}</b:Guid>
    <b:Author>
      <b:Author>
        <b:NameList>
          <b:Person>
            <b:Last>Demay</b:Last>
            <b:First>Fanny</b:First>
          </b:Person>
        </b:NameList>
      </b:Author>
    </b:Author>
    <b:InternetSiteTitle>Cours B.T.S. BioAnalyses et Contrôles</b:InternetSiteTitle>
    <b:URL>http://fdanieau.free.fr/cours/bts/A1/biochimie/chapitre7/Restriction.jpg</b:URL>
    <b:RefOrder>5</b:RefOrder>
  </b:Source>
  <b:Source>
    <b:Tag>Ann04</b:Tag>
    <b:SourceType>Book</b:SourceType>
    <b:Guid>{9026ADAA-14C3-4BEB-879B-B9E480335B9B}</b:Guid>
    <b:Title>Nucleic Acids Research, Vol 32 No 22, Sensitive ans specific detection of microRNAs by Northern blot analysis using LNA-modified oligonucleotide probes</b:Title>
    <b:Year>2004</b:Year>
    <b:Author>
      <b:Author>
        <b:NameList>
          <b:Person>
            <b:Last>Vàloczi</b:Last>
            <b:First>Anna</b:First>
          </b:Person>
        </b:NameList>
      </b:Author>
    </b:Author>
    <b:City>Vedbaek</b:City>
    <b:Publisher>Oxford University Press 2004</b:Publisher>
    <b:RefOrder>6</b:RefOrder>
  </b:Source>
</b:Sources>
</file>

<file path=customXml/itemProps1.xml><?xml version="1.0" encoding="utf-8"?>
<ds:datastoreItem xmlns:ds="http://schemas.openxmlformats.org/officeDocument/2006/customXml" ds:itemID="{D2128F30-AB31-465A-B694-2ECCF8B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6600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Nascinschi</dc:creator>
  <cp:keywords/>
  <dc:description/>
  <cp:lastModifiedBy>Vera Nascinschi</cp:lastModifiedBy>
  <cp:revision>68</cp:revision>
  <dcterms:created xsi:type="dcterms:W3CDTF">2015-03-23T09:33:00Z</dcterms:created>
  <dcterms:modified xsi:type="dcterms:W3CDTF">2015-04-02T16:02:00Z</dcterms:modified>
</cp:coreProperties>
</file>