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6.png" ContentType="image/png"/>
  <Override PartName="/word/media/image5.png" ContentType="image/png"/>
  <Override PartName="/word/media/image4.png" ContentType="image/png"/>
  <Override PartName="/word/media/image3.png" ContentType="image/png"/>
  <Override PartName="/word/media/image1.png" ContentType="image/png"/>
  <Override PartName="/word/media/image15.png" ContentType="image/png"/>
  <Override PartName="/word/media/image2.png" ContentType="image/png"/>
  <Override PartName="/word/media/image7.png" ContentType="image/png"/>
  <Override PartName="/word/media/image8.png" ContentType="image/png"/>
  <Override PartName="/word/media/image13.png" ContentType="image/png"/>
  <Override PartName="/word/media/image14.png" ContentType="image/png"/>
  <Override PartName="/word/media/image12.png" ContentType="image/png"/>
  <Override PartName="/word/media/image11.png" ContentType="image/png"/>
  <Override PartName="/word/media/image9.png" ContentType="image/png"/>
  <Override PartName="/word/media/image10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numPr>
          <w:ilvl w:val="0"/>
          <w:numId w:val="2"/>
        </w:numPr>
        <w:spacing w:lineRule="auto" w:line="240" w:before="0" w:after="0"/>
        <w:jc w:val="center"/>
        <w:rPr>
          <w:b/>
          <w:b/>
          <w:bCs/>
          <w:sz w:val="48"/>
          <w:szCs w:val="48"/>
        </w:rPr>
      </w:pPr>
      <w:bookmarkStart w:id="0" w:name="__RefHeading___Toc172_1750294226"/>
      <w:bookmarkEnd w:id="0"/>
      <w:r>
        <w:rPr>
          <w:b/>
          <w:bCs/>
          <w:sz w:val="48"/>
          <w:szCs w:val="48"/>
        </w:rPr>
        <w:t>SEGAE</w:t>
      </w:r>
    </w:p>
    <w:p>
      <w:pPr>
        <w:pStyle w:val="Tretekstu"/>
        <w:spacing w:lineRule="auto" w:line="240" w:before="0" w:after="0"/>
        <w:jc w:val="center"/>
        <w:rPr/>
      </w:pPr>
      <w:r>
        <w:rPr>
          <w:b/>
          <w:bCs/>
        </w:rPr>
        <w:t>SE</w:t>
      </w:r>
      <w:r>
        <w:rPr/>
        <w:t xml:space="preserve">rious </w:t>
      </w:r>
      <w:r>
        <w:rPr>
          <w:b/>
          <w:bCs/>
        </w:rPr>
        <w:t>G</w:t>
      </w:r>
      <w:r>
        <w:rPr/>
        <w:t xml:space="preserve">ame in </w:t>
      </w:r>
      <w:r>
        <w:rPr>
          <w:b/>
          <w:bCs/>
        </w:rPr>
        <w:t>A</w:t>
      </w:r>
      <w:r>
        <w:rPr/>
        <w:t>gro</w:t>
      </w:r>
      <w:r>
        <w:rPr>
          <w:b/>
          <w:bCs/>
        </w:rPr>
        <w:t>E</w:t>
      </w:r>
      <w:r>
        <w:rPr/>
        <w:t>cology</w:t>
      </w:r>
    </w:p>
    <w:p>
      <w:pPr>
        <w:pStyle w:val="Tretekstu"/>
        <w:spacing w:lineRule="auto" w:line="240" w:before="0" w:after="0"/>
        <w:jc w:val="center"/>
        <w:rPr/>
      </w:pPr>
      <w:r>
        <w:rPr/>
        <w:t>tutorial</w:t>
      </w:r>
    </w:p>
    <w:p>
      <w:pPr>
        <w:pStyle w:val="Tretekstu"/>
        <w:spacing w:lineRule="auto" w:line="240" w:before="0" w:after="0"/>
        <w:jc w:val="center"/>
        <w:rPr/>
      </w:pPr>
      <w:r>
        <w:rPr/>
      </w:r>
    </w:p>
    <w:p>
      <w:pPr>
        <w:pStyle w:val="Tretekstu"/>
        <w:spacing w:before="240" w:after="120"/>
        <w:jc w:val="center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769995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Nagwekspisutreci"/>
            <w:suppressLineNumbers/>
            <w:ind w:left="0" w:hanging="0"/>
            <w:rPr>
              <w:b/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Spis treści</w:t>
          </w:r>
        </w:p>
        <w:p>
          <w:pPr>
            <w:pStyle w:val="Spistreci2"/>
            <w:tabs>
              <w:tab w:val="clear" w:pos="9355"/>
              <w:tab w:val="right" w:pos="9638" w:leader="dot"/>
            </w:tabs>
            <w:rPr/>
          </w:pPr>
          <w:r>
            <w:fldChar w:fldCharType="begin"/>
          </w:r>
          <w:r>
            <w:rPr>
              <w:rStyle w:val="Czeindeksu"/>
            </w:rPr>
            <w:instrText> TOC \f \o "1-2" \h</w:instrText>
          </w:r>
          <w:r>
            <w:rPr>
              <w:rStyle w:val="Czeindeksu"/>
            </w:rPr>
            <w:fldChar w:fldCharType="separate"/>
          </w:r>
          <w:hyperlink w:anchor="__RefHeading___Toc174_1750294226">
            <w:r>
              <w:rPr>
                <w:rStyle w:val="Czeindeksu"/>
              </w:rPr>
              <w:t>1. Wprowadzenie</w:t>
              <w:tab/>
              <w:t>2</w:t>
            </w:r>
          </w:hyperlink>
        </w:p>
        <w:p>
          <w:pPr>
            <w:pStyle w:val="Spistreci2"/>
            <w:tabs>
              <w:tab w:val="clear" w:pos="9355"/>
              <w:tab w:val="right" w:pos="9638" w:leader="dot"/>
            </w:tabs>
            <w:rPr/>
          </w:pPr>
          <w:hyperlink w:anchor="__RefHeading___Toc176_1750294226">
            <w:r>
              <w:rPr>
                <w:rStyle w:val="Czeindeksu"/>
              </w:rPr>
              <w:t>2. Interfejs</w:t>
              <w:tab/>
              <w:t>3</w:t>
            </w:r>
          </w:hyperlink>
        </w:p>
        <w:p>
          <w:pPr>
            <w:pStyle w:val="Spistreci1"/>
            <w:tabs>
              <w:tab w:val="right" w:pos="9638" w:leader="dot"/>
            </w:tabs>
            <w:rPr/>
          </w:pPr>
          <w:hyperlink w:anchor="__RefHeading___Toc376_4234633938">
            <w:r>
              <w:rPr>
                <w:rStyle w:val="Czeindeksu"/>
              </w:rPr>
              <w:t>3. Krótki przegląd działań ekologicznych</w:t>
              <w:tab/>
              <w:t>4</w:t>
            </w:r>
          </w:hyperlink>
          <w:r>
            <w:rPr>
              <w:rStyle w:val="Czeindeksu"/>
            </w:rPr>
            <w:fldChar w:fldCharType="end"/>
          </w:r>
        </w:p>
      </w:sdtContent>
    </w:sdt>
    <w:p>
      <w:pPr>
        <w:pStyle w:val="Tretekstu"/>
        <w:rPr/>
      </w:pPr>
      <w:r>
        <w:rPr/>
      </w:r>
    </w:p>
    <w:p>
      <w:pPr>
        <w:pStyle w:val="Tretekstu"/>
        <w:rPr/>
      </w:pPr>
      <w:r>
        <w:rPr/>
      </w:r>
    </w:p>
    <w:p>
      <w:pPr>
        <w:pStyle w:val="Tretekstu"/>
        <w:rPr/>
      </w:pPr>
      <w:bookmarkStart w:id="1" w:name="__RefHeading___Toc286_1750294226"/>
      <w:bookmarkEnd w:id="1"/>
      <w:r>
        <w:rPr/>
        <w:t xml:space="preserve">Gra : </w:t>
      </w:r>
      <w:hyperlink r:id="rId3">
        <w:r>
          <w:rPr>
            <w:rStyle w:val="Czeinternetowe"/>
          </w:rPr>
          <w:t>https://succubus.cleverapps.io/livraison/segae/app/</w:t>
        </w:r>
      </w:hyperlink>
    </w:p>
    <w:p>
      <w:pPr>
        <w:pStyle w:val="Tretekstu"/>
        <w:rPr/>
      </w:pPr>
      <w:bookmarkStart w:id="2" w:name="__RefHeading___Toc288_1750294226"/>
      <w:bookmarkEnd w:id="2"/>
      <w:r>
        <w:rPr/>
        <w:t xml:space="preserve">Tutorial : </w:t>
      </w:r>
      <w:hyperlink r:id="rId4">
        <w:r>
          <w:rPr>
            <w:rStyle w:val="Czeinternetowe"/>
          </w:rPr>
          <w:t>http://mc.wipie.ur.krakow.pl/segae/</w:t>
        </w:r>
      </w:hyperlink>
      <w:r>
        <w:br w:type="page"/>
      </w:r>
    </w:p>
    <w:p>
      <w:pPr>
        <w:pStyle w:val="Nagwek2"/>
        <w:numPr>
          <w:ilvl w:val="1"/>
          <w:numId w:val="2"/>
        </w:numPr>
        <w:rPr/>
      </w:pPr>
      <w:bookmarkStart w:id="3" w:name="__RefHeading___Toc174_1750294226"/>
      <w:bookmarkEnd w:id="3"/>
      <w:r>
        <w:rPr/>
        <w:t>1. Wprowadzenie</w:t>
      </w:r>
    </w:p>
    <w:p>
      <w:pPr>
        <w:pStyle w:val="Normal"/>
        <w:rPr/>
      </w:pPr>
      <w:r>
        <w:rPr/>
        <w:t xml:space="preserve">SEGAE jest grą turową. Jako „gra edukacyjna” ma za zadanie pokazać, w jaki sposób można zmienić gospodarstwo konwencjonalne na ekologiczne. Farma będąca przedmiotem zmian prowadzi hodowle bydła oraz produkcję polową. Gra przeznaczona jest dla osób posiadających co najmniej podstawową znajomość zagadnień związanych z zarządzaniem gospodarstwem rolnym. </w:t>
      </w:r>
    </w:p>
    <w:p>
      <w:pPr>
        <w:pStyle w:val="Normal"/>
        <w:rPr/>
      </w:pPr>
      <w:r>
        <w:rPr/>
        <w:t xml:space="preserve">Po wykonaniu działań gracz, przechodząc do następnego roku (tzn. tury gry), może zobaczyć skutki swoich działań, oraz przeanalizować szczegółowo: co się zmieniło, jak się zmieniło i dlaczego się zmieniło. </w:t>
      </w:r>
    </w:p>
    <w:p>
      <w:pPr>
        <w:pStyle w:val="Normal"/>
        <w:rPr/>
      </w:pPr>
      <w:r>
        <w:rPr/>
        <w:t>Celem gry może być, w zależności od scenariusza,  osiągnięcie założonych celów lub uzyskanie najwyższego wyniku gry. Wynik gry może być porównywany z innymi graczami.</w:t>
      </w:r>
    </w:p>
    <w:p>
      <w:pPr>
        <w:pStyle w:val="Angielski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767455"/>
            <wp:effectExtent l="0" t="0" r="0" b="0"/>
            <wp:wrapSquare wrapText="largest"/>
            <wp:docPr id="2" name="Obraz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agwek2"/>
        <w:numPr>
          <w:ilvl w:val="1"/>
          <w:numId w:val="2"/>
        </w:numPr>
        <w:rPr/>
      </w:pPr>
      <w:bookmarkStart w:id="4" w:name="__RefHeading___Toc176_1750294226"/>
      <w:bookmarkEnd w:id="4"/>
      <w:r>
        <w:rPr/>
        <w:t>2. Interfejs</w:t>
      </w:r>
    </w:p>
    <w:p>
      <w:pPr>
        <w:pStyle w:val="Normal"/>
        <w:rPr/>
      </w:pPr>
      <w:r>
        <w:rPr/>
        <w:t xml:space="preserve">Interfejs gry umieszczony jest na tej planszy. </w:t>
      </w:r>
    </w:p>
    <w:p>
      <w:pPr>
        <w:pStyle w:val="Normal"/>
        <w:rPr/>
      </w:pPr>
      <w:r>
        <w:rPr/>
        <w:t>W</w:t>
      </w:r>
      <w: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19050</wp:posOffset>
            </wp:positionH>
            <wp:positionV relativeFrom="paragraph">
              <wp:posOffset>60325</wp:posOffset>
            </wp:positionV>
            <wp:extent cx="1017270" cy="626745"/>
            <wp:effectExtent l="0" t="0" r="0" b="0"/>
            <wp:wrapSquare wrapText="largest"/>
            <wp:docPr id="3" name="Obraz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4963795</wp:posOffset>
            </wp:positionH>
            <wp:positionV relativeFrom="paragraph">
              <wp:posOffset>662940</wp:posOffset>
            </wp:positionV>
            <wp:extent cx="531495" cy="269875"/>
            <wp:effectExtent l="0" t="0" r="0" b="0"/>
            <wp:wrapSquare wrapText="largest"/>
            <wp:docPr id="4" name="Obraz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</w:t>
      </w:r>
      <w:r>
        <w:rPr/>
        <w:t>lewym dolnym rogu znajdują się raporty szczegółowe dotyczące danego etapu gry. Są to informacje o farmie oraz o działaniach podjętych w bieżącym roku i w latach poprzednich.</w:t>
      </w:r>
    </w:p>
    <w:p>
      <w:pPr>
        <w:pStyle w:val="Normal"/>
        <w:rPr/>
      </w:pPr>
      <w:r>
        <w:rPr/>
        <w:t>Prawy dolny róg pozwala na przejście do kolejnego roku tzn. kolejnej tury gry.</w:t>
      </w:r>
    </w:p>
    <w:p>
      <w:pPr>
        <w:pStyle w:val="Normal"/>
        <w:rPr/>
      </w:pPr>
      <w:r>
        <w:rPr/>
        <w:t xml:space="preserve">Na dole, po środku ekranu znajduje </w:t>
      </w:r>
      <w: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27305</wp:posOffset>
            </wp:positionH>
            <wp:positionV relativeFrom="paragraph">
              <wp:posOffset>41910</wp:posOffset>
            </wp:positionV>
            <wp:extent cx="1616710" cy="894080"/>
            <wp:effectExtent l="0" t="0" r="0" b="0"/>
            <wp:wrapSquare wrapText="largest"/>
            <wp:docPr id="5" name="Obraz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5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</w:t>
      </w:r>
      <w:r>
        <w:rPr/>
        <w:t>ię skumulowany wskaźnik zrównoważenia. Wskaźnik ten składa się z trzech składowych tj. równoważenie ekonomiczne, środowiskowe i socjalne. W każdej chwili można też sprawdzić co wpływa na te wskaźniki.</w:t>
      </w:r>
    </w:p>
    <w:p>
      <w:pPr>
        <w:pStyle w:val="Normal"/>
        <w:rPr/>
      </w:pPr>
      <w:r>
        <w:rPr/>
        <w:t>Gracz ma możliwość prowadzenia rożnych działań, które powinny przynieść pożądany efekt. Przyciski umożliwiające te zmiany umieszczone są w rożnych miejscach planszy w sposób intuicyjny i oznaczone odpowiednimi piktogramami. Na planszy jest 10 obszarów, które umożliwiają wprowadzanie rożnych działań - w kilku przypadkach dostęp do tych samych działań jest w kilku miejscach (np. system żywienia krów w „feeding system” oraz w „cows”).</w:t>
      </w:r>
    </w:p>
    <w:p>
      <w:pPr>
        <w:pStyle w:val="Normal"/>
        <w:rPr/>
      </w:pPr>
      <w:r>
        <w:rPr/>
      </w:r>
    </w:p>
    <w:p>
      <w:pPr>
        <w:pStyle w:val="Nagwek1"/>
        <w:widowControl/>
        <w:numPr>
          <w:ilvl w:val="0"/>
          <w:numId w:val="0"/>
        </w:numPr>
        <w:suppressAutoHyphens w:val="true"/>
        <w:spacing w:lineRule="auto" w:line="360"/>
        <w:jc w:val="both"/>
        <w:outlineLvl w:val="0"/>
        <w:rPr/>
      </w:pPr>
      <w:r>
        <w:rPr/>
      </w:r>
      <w:r>
        <w:br w:type="page"/>
      </w:r>
    </w:p>
    <w:p>
      <w:pPr>
        <w:pStyle w:val="Nagwek1"/>
        <w:rPr/>
      </w:pPr>
      <w:bookmarkStart w:id="5" w:name="__RefHeading___Toc376_4234633938"/>
      <w:bookmarkEnd w:id="5"/>
      <w:r>
        <w:rPr/>
        <w:t xml:space="preserve">3. </w:t>
      </w:r>
      <w:r>
        <w:rPr/>
        <w:t>Krótki przegląd działań ekologicznych</w:t>
      </w:r>
    </w:p>
    <w:tbl>
      <w:tblPr>
        <w:tblW w:w="9638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84"/>
        <w:gridCol w:w="863"/>
        <w:gridCol w:w="8391"/>
      </w:tblGrid>
      <w:tr>
        <w:trPr/>
        <w:tc>
          <w:tcPr>
            <w:tcW w:w="384" w:type="dxa"/>
            <w:tcBorders/>
          </w:tcPr>
          <w:p>
            <w:pPr>
              <w:pStyle w:val="Normal"/>
              <w:widowControl/>
              <w:numPr>
                <w:ilvl w:val="0"/>
                <w:numId w:val="3"/>
              </w:numPr>
              <w:bidi w:val="0"/>
              <w:spacing w:lineRule="auto" w:line="360" w:before="0" w:after="0"/>
              <w:ind w:left="737" w:right="227" w:hanging="680"/>
              <w:jc w:val="both"/>
              <w:rPr/>
            </w:pPr>
            <w:r>
              <w:rPr/>
            </w:r>
          </w:p>
        </w:tc>
        <w:tc>
          <w:tcPr>
            <w:tcW w:w="863" w:type="dxa"/>
            <w:tcBorders/>
          </w:tcPr>
          <w:p>
            <w:pPr>
              <w:pStyle w:val="Normal"/>
              <w:rPr/>
            </w:pPr>
            <w:r>
              <w:rPr/>
              <w:drawing>
                <wp:anchor behindDoc="0" distT="0" distB="0" distL="0" distR="0" simplePos="0" locked="0" layoutInCell="1" allowOverlap="1" relativeHeight="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77470</wp:posOffset>
                  </wp:positionV>
                  <wp:extent cx="472440" cy="445135"/>
                  <wp:effectExtent l="0" t="0" r="0" b="0"/>
                  <wp:wrapTopAndBottom/>
                  <wp:docPr id="6" name="Obraz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44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  <w:tcBorders/>
          </w:tcPr>
          <w:p>
            <w:pPr>
              <w:pStyle w:val="Normal"/>
              <w:rPr/>
            </w:pPr>
            <w:r>
              <w:rPr/>
              <w:t>Decyzje strategiczne - w tym miejscu gracz może podjąć decyzję o typie produkcji, rozdysponowaniu zysku z działalności, a także zmienić rasę krów i wielkość stada.</w:t>
              <w:br/>
              <w:t xml:space="preserve">Każdorazowo, po wybraniu działania, po prawej stronie można sprawdzić jak w kolejnych latach zmieniały się wskaźniki zależne od podjętej decyzji. </w:t>
            </w:r>
          </w:p>
        </w:tc>
      </w:tr>
      <w:tr>
        <w:trPr/>
        <w:tc>
          <w:tcPr>
            <w:tcW w:w="384" w:type="dxa"/>
            <w:tcBorders/>
          </w:tcPr>
          <w:p>
            <w:pPr>
              <w:pStyle w:val="Normal"/>
              <w:widowControl/>
              <w:numPr>
                <w:ilvl w:val="0"/>
                <w:numId w:val="3"/>
              </w:numPr>
              <w:bidi w:val="0"/>
              <w:spacing w:lineRule="auto" w:line="360" w:before="0" w:after="0"/>
              <w:ind w:left="737" w:right="227" w:hanging="680"/>
              <w:jc w:val="both"/>
              <w:rPr/>
            </w:pPr>
            <w:r>
              <w:rPr/>
            </w:r>
          </w:p>
        </w:tc>
        <w:tc>
          <w:tcPr>
            <w:tcW w:w="863" w:type="dxa"/>
            <w:tcBorders/>
          </w:tcPr>
          <w:p>
            <w:pPr>
              <w:pStyle w:val="Normal"/>
              <w:rPr/>
            </w:pPr>
            <w:r>
              <w:rPr/>
              <w:drawing>
                <wp:anchor behindDoc="0" distT="0" distB="0" distL="0" distR="0" simplePos="0" locked="0" layoutInCell="1" allowOverlap="1" relativeHeight="8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TopAndBottom/>
                  <wp:docPr id="7" name="Obraz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  <w:tcBorders/>
          </w:tcPr>
          <w:p>
            <w:pPr>
              <w:pStyle w:val="Normal"/>
              <w:rPr/>
            </w:pPr>
            <w:r>
              <w:rPr/>
              <w:t>Zarządzanie użytkowaniem gruntów - w tej zakładce wybrać można płodozmian oraz sposób użytkowania terenów zielonych (trwałych i tymczasowych)</w:t>
            </w:r>
          </w:p>
        </w:tc>
      </w:tr>
      <w:tr>
        <w:trPr/>
        <w:tc>
          <w:tcPr>
            <w:tcW w:w="384" w:type="dxa"/>
            <w:tcBorders/>
          </w:tcPr>
          <w:p>
            <w:pPr>
              <w:pStyle w:val="Normal"/>
              <w:widowControl/>
              <w:numPr>
                <w:ilvl w:val="0"/>
                <w:numId w:val="3"/>
              </w:numPr>
              <w:bidi w:val="0"/>
              <w:spacing w:lineRule="auto" w:line="360" w:before="0" w:after="0"/>
              <w:ind w:left="737" w:right="227" w:hanging="680"/>
              <w:jc w:val="both"/>
              <w:rPr/>
            </w:pPr>
            <w:r>
              <w:rPr/>
            </w:r>
          </w:p>
        </w:tc>
        <w:tc>
          <w:tcPr>
            <w:tcW w:w="863" w:type="dxa"/>
            <w:tcBorders/>
          </w:tcPr>
          <w:p>
            <w:pPr>
              <w:pStyle w:val="Normal"/>
              <w:rPr/>
            </w:pPr>
            <w:r>
              <w:rPr/>
              <w:drawing>
                <wp:anchor behindDoc="0" distT="0" distB="0" distL="0" distR="0" simplePos="0" locked="0" layoutInCell="1" allowOverlap="1" relativeHeight="9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TopAndBottom/>
                  <wp:docPr id="8" name="Obraz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  <w:tcBorders/>
          </w:tcPr>
          <w:p>
            <w:pPr>
              <w:pStyle w:val="Normal"/>
              <w:rPr/>
            </w:pPr>
            <w:r>
              <w:rPr/>
              <w:t xml:space="preserve">System żywienia - w tym miejscu można wybrać system żywienia krów oraz jałówek. Należy mieć na uwadze że system żywienia powinien być spójny z prowadzoną produkcja roślinną (a więc te zmiany tez można tu wprowadzić). </w:t>
            </w:r>
          </w:p>
        </w:tc>
      </w:tr>
      <w:tr>
        <w:trPr/>
        <w:tc>
          <w:tcPr>
            <w:tcW w:w="384" w:type="dxa"/>
            <w:tcBorders/>
          </w:tcPr>
          <w:p>
            <w:pPr>
              <w:pStyle w:val="Normal"/>
              <w:widowControl/>
              <w:numPr>
                <w:ilvl w:val="0"/>
                <w:numId w:val="3"/>
              </w:numPr>
              <w:bidi w:val="0"/>
              <w:spacing w:lineRule="auto" w:line="360" w:before="0" w:after="0"/>
              <w:ind w:left="737" w:right="227" w:hanging="680"/>
              <w:jc w:val="both"/>
              <w:rPr/>
            </w:pPr>
            <w:r>
              <w:rPr/>
            </w:r>
          </w:p>
        </w:tc>
        <w:tc>
          <w:tcPr>
            <w:tcW w:w="863" w:type="dxa"/>
            <w:tcBorders/>
          </w:tcPr>
          <w:p>
            <w:pPr>
              <w:pStyle w:val="Normal"/>
              <w:rPr/>
            </w:pPr>
            <w:r>
              <w:rPr/>
              <w:drawing>
                <wp:anchor behindDoc="0" distT="0" distB="0" distL="0" distR="0" simplePos="0" locked="0" layoutInCell="1" allowOverlap="1" relativeHeight="10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Square wrapText="largest"/>
                  <wp:docPr id="9" name="Obraz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  <w:tcBorders/>
          </w:tcPr>
          <w:p>
            <w:pPr>
              <w:pStyle w:val="Normal"/>
              <w:rPr/>
            </w:pPr>
            <w:r>
              <w:rPr/>
              <w:t>Krowy - to zakładka, w której można zmienić sposób utrzymania, system żywienia, wprowadzić dodatkowe pasze treściwe zwiększające produkcję mleka oraz określić sposób przeciwdziałania mastitis.</w:t>
            </w:r>
          </w:p>
        </w:tc>
      </w:tr>
      <w:tr>
        <w:trPr/>
        <w:tc>
          <w:tcPr>
            <w:tcW w:w="384" w:type="dxa"/>
            <w:tcBorders/>
          </w:tcPr>
          <w:p>
            <w:pPr>
              <w:pStyle w:val="Normal"/>
              <w:widowControl/>
              <w:numPr>
                <w:ilvl w:val="0"/>
                <w:numId w:val="3"/>
              </w:numPr>
              <w:bidi w:val="0"/>
              <w:spacing w:lineRule="auto" w:line="360" w:before="0" w:after="0"/>
              <w:ind w:left="737" w:right="227" w:hanging="680"/>
              <w:jc w:val="both"/>
              <w:rPr/>
            </w:pPr>
            <w:r>
              <w:rPr/>
            </w:r>
          </w:p>
        </w:tc>
        <w:tc>
          <w:tcPr>
            <w:tcW w:w="863" w:type="dxa"/>
            <w:tcBorders/>
          </w:tcPr>
          <w:p>
            <w:pPr>
              <w:pStyle w:val="Normal"/>
              <w:rPr/>
            </w:pPr>
            <w:r>
              <w:rPr/>
              <w:drawing>
                <wp:anchor behindDoc="0" distT="0" distB="0" distL="0" distR="0" simplePos="0" locked="0" layoutInCell="1" allowOverlap="1" relativeHeight="1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Square wrapText="largest"/>
                  <wp:docPr id="10" name="Obraz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  <w:tcBorders/>
          </w:tcPr>
          <w:p>
            <w:pPr>
              <w:pStyle w:val="Normal"/>
              <w:rPr/>
            </w:pPr>
            <w:r>
              <w:rPr/>
              <w:t>Zarządzanie glebą - tu można określić sposób uprawy gleby oraz zagospodarowania słomy</w:t>
            </w:r>
          </w:p>
        </w:tc>
      </w:tr>
      <w:tr>
        <w:trPr/>
        <w:tc>
          <w:tcPr>
            <w:tcW w:w="384" w:type="dxa"/>
            <w:tcBorders/>
          </w:tcPr>
          <w:p>
            <w:pPr>
              <w:pStyle w:val="Normal"/>
              <w:widowControl/>
              <w:numPr>
                <w:ilvl w:val="0"/>
                <w:numId w:val="3"/>
              </w:numPr>
              <w:bidi w:val="0"/>
              <w:spacing w:lineRule="auto" w:line="360" w:before="0" w:after="0"/>
              <w:ind w:left="737" w:right="227" w:hanging="680"/>
              <w:jc w:val="both"/>
              <w:rPr/>
            </w:pPr>
            <w:r>
              <w:rPr/>
            </w:r>
          </w:p>
        </w:tc>
        <w:tc>
          <w:tcPr>
            <w:tcW w:w="863" w:type="dxa"/>
            <w:tcBorders/>
          </w:tcPr>
          <w:p>
            <w:pPr>
              <w:pStyle w:val="Normal"/>
              <w:rPr/>
            </w:pPr>
            <w:r>
              <w:rPr/>
              <w:drawing>
                <wp:anchor behindDoc="0" distT="0" distB="0" distL="0" distR="0" simplePos="0" locked="0" layoutInCell="1" allowOverlap="1" relativeHeight="1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Square wrapText="largest"/>
                  <wp:docPr id="11" name="Obraz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  <w:tcBorders/>
          </w:tcPr>
          <w:p>
            <w:pPr>
              <w:pStyle w:val="Normal"/>
              <w:rPr/>
            </w:pPr>
            <w:r>
              <w:rPr/>
              <w:t>Zarządzanie produkcją roślinną - to miejsce, gdzie określa się sposób nawożenia, poziom ochrony chemicznej roślin, oraz inne parametry mające wpływ na produkcję roślinną</w:t>
            </w:r>
          </w:p>
        </w:tc>
      </w:tr>
      <w:tr>
        <w:trPr/>
        <w:tc>
          <w:tcPr>
            <w:tcW w:w="384" w:type="dxa"/>
            <w:tcBorders/>
          </w:tcPr>
          <w:p>
            <w:pPr>
              <w:pStyle w:val="Normal"/>
              <w:widowControl/>
              <w:numPr>
                <w:ilvl w:val="0"/>
                <w:numId w:val="3"/>
              </w:numPr>
              <w:bidi w:val="0"/>
              <w:spacing w:lineRule="auto" w:line="360" w:before="0" w:after="0"/>
              <w:ind w:left="737" w:right="227" w:hanging="680"/>
              <w:jc w:val="both"/>
              <w:rPr/>
            </w:pPr>
            <w:r>
              <w:rPr/>
            </w:r>
          </w:p>
        </w:tc>
        <w:tc>
          <w:tcPr>
            <w:tcW w:w="863" w:type="dxa"/>
            <w:tcBorders/>
          </w:tcPr>
          <w:p>
            <w:pPr>
              <w:pStyle w:val="Normal"/>
              <w:rPr/>
            </w:pPr>
            <w:r>
              <w:rPr/>
              <w:drawing>
                <wp:anchor behindDoc="0" distT="0" distB="0" distL="0" distR="0" simplePos="0" locked="0" layoutInCell="1" allowOverlap="1" relativeHeight="13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Square wrapText="largest"/>
                  <wp:docPr id="12" name="Obraz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  <w:tcBorders/>
          </w:tcPr>
          <w:p>
            <w:pPr>
              <w:pStyle w:val="Normal"/>
              <w:rPr/>
            </w:pPr>
            <w:r>
              <w:rPr/>
              <w:t xml:space="preserve">Zarządzanie krajobrazem - tu określić można rodzaj zielonej infrastruktury oraz zadrzewienia. </w:t>
            </w:r>
          </w:p>
        </w:tc>
      </w:tr>
      <w:tr>
        <w:trPr/>
        <w:tc>
          <w:tcPr>
            <w:tcW w:w="384" w:type="dxa"/>
            <w:tcBorders/>
          </w:tcPr>
          <w:p>
            <w:pPr>
              <w:pStyle w:val="Normal"/>
              <w:widowControl/>
              <w:numPr>
                <w:ilvl w:val="0"/>
                <w:numId w:val="3"/>
              </w:numPr>
              <w:bidi w:val="0"/>
              <w:spacing w:lineRule="auto" w:line="360" w:before="0" w:after="0"/>
              <w:ind w:left="737" w:right="227" w:hanging="680"/>
              <w:jc w:val="both"/>
              <w:rPr/>
            </w:pPr>
            <w:r>
              <w:rPr/>
            </w:r>
          </w:p>
        </w:tc>
        <w:tc>
          <w:tcPr>
            <w:tcW w:w="863" w:type="dxa"/>
            <w:tcBorders/>
          </w:tcPr>
          <w:p>
            <w:pPr>
              <w:pStyle w:val="Normal"/>
              <w:rPr/>
            </w:pPr>
            <w:r>
              <w:rPr/>
              <w:drawing>
                <wp:anchor behindDoc="0" distT="0" distB="0" distL="0" distR="0" simplePos="0" locked="0" layoutInCell="1" allowOverlap="1" relativeHeight="14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Square wrapText="largest"/>
                  <wp:docPr id="13" name="Obraz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  <w:tcBorders/>
          </w:tcPr>
          <w:p>
            <w:pPr>
              <w:pStyle w:val="Normal"/>
              <w:rPr/>
            </w:pPr>
            <w:r>
              <w:rPr/>
              <w:t>Jałówki i tucz bydła - to miejsce, gdzie można zmienić system utrzymania jałówek i bukatów, ich system żywienia oraz sposób zarządzania tymi grupami zwierząt.</w:t>
            </w:r>
          </w:p>
        </w:tc>
      </w:tr>
      <w:tr>
        <w:trPr/>
        <w:tc>
          <w:tcPr>
            <w:tcW w:w="384" w:type="dxa"/>
            <w:tcBorders/>
          </w:tcPr>
          <w:p>
            <w:pPr>
              <w:pStyle w:val="Normal"/>
              <w:widowControl/>
              <w:numPr>
                <w:ilvl w:val="0"/>
                <w:numId w:val="3"/>
              </w:numPr>
              <w:bidi w:val="0"/>
              <w:spacing w:lineRule="auto" w:line="360" w:before="0" w:after="0"/>
              <w:ind w:left="737" w:right="227" w:hanging="680"/>
              <w:jc w:val="both"/>
              <w:rPr/>
            </w:pPr>
            <w:r>
              <w:rPr/>
            </w:r>
          </w:p>
        </w:tc>
        <w:tc>
          <w:tcPr>
            <w:tcW w:w="863" w:type="dxa"/>
            <w:tcBorders/>
          </w:tcPr>
          <w:p>
            <w:pPr>
              <w:pStyle w:val="Normal"/>
              <w:rPr/>
            </w:pPr>
            <w:r>
              <w:rPr/>
              <w:drawing>
                <wp:anchor behindDoc="0" distT="0" distB="0" distL="0" distR="0" simplePos="0" locked="0" layoutInCell="1" allowOverlap="1" relativeHeight="15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Square wrapText="largest"/>
                  <wp:docPr id="14" name="Obraz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  <w:tcBorders/>
          </w:tcPr>
          <w:p>
            <w:pPr>
              <w:pStyle w:val="Normal"/>
              <w:rPr/>
            </w:pPr>
            <w:r>
              <w:rPr/>
              <w:t>Nawożenie - tu zmienić można sposób nawożenia oraz produkcję obornika, będącą konsekwencją sposobu utrzymania zwierząt.</w:t>
            </w:r>
          </w:p>
        </w:tc>
      </w:tr>
      <w:tr>
        <w:trPr/>
        <w:tc>
          <w:tcPr>
            <w:tcW w:w="384" w:type="dxa"/>
            <w:tcBorders/>
          </w:tcPr>
          <w:p>
            <w:pPr>
              <w:pStyle w:val="Normal"/>
              <w:widowControl/>
              <w:numPr>
                <w:ilvl w:val="0"/>
                <w:numId w:val="3"/>
              </w:numPr>
              <w:bidi w:val="0"/>
              <w:spacing w:lineRule="auto" w:line="360" w:before="0" w:after="0"/>
              <w:ind w:left="737" w:right="227" w:hanging="680"/>
              <w:jc w:val="both"/>
              <w:rPr/>
            </w:pPr>
            <w:r>
              <w:rPr/>
            </w:r>
          </w:p>
        </w:tc>
        <w:tc>
          <w:tcPr>
            <w:tcW w:w="863" w:type="dxa"/>
            <w:tcBorders/>
          </w:tcPr>
          <w:p>
            <w:pPr>
              <w:pStyle w:val="Normal"/>
              <w:rPr/>
            </w:pPr>
            <w:r>
              <w:rPr/>
              <w:drawing>
                <wp:anchor behindDoc="0" distT="0" distB="0" distL="0" distR="0" simplePos="0" locked="0" layoutInCell="1" allowOverlap="1" relativeHeight="16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9100" cy="409575"/>
                  <wp:effectExtent l="0" t="0" r="0" b="0"/>
                  <wp:wrapSquare wrapText="largest"/>
                  <wp:docPr id="15" name="Obraz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91" w:type="dxa"/>
            <w:tcBorders/>
          </w:tcPr>
          <w:p>
            <w:pPr>
              <w:pStyle w:val="Normal"/>
              <w:rPr/>
            </w:pPr>
            <w:r>
              <w:rPr/>
              <w:t>Magazyn - ostatnia zakładka nie daje możliwości wprowadzania zmian, ale jest miejscem, gdzie sprawdzić można istotne wskaźniki charakteryzujące produkcję w gospodarstwie. Należą do nich: zyski i koszty, dopłaty, sprzedaż produkcji roślinnej i zwierzęcej czy nakłady pracy.</w:t>
            </w:r>
          </w:p>
        </w:tc>
      </w:tr>
    </w:tbl>
    <w:p>
      <w:pPr>
        <w:pStyle w:val="Normal"/>
        <w:rPr/>
      </w:pPr>
      <w:r>
        <w:rPr/>
        <w:t>Taki interfejs pozwala na łatwe i intuicyjne wprowadzanie zmian w grze a następnie sprawdzanie efektów oraz szczegółowe analizowanie konsekwencji podjętych decyzji.</w:t>
      </w:r>
    </w:p>
    <w:p>
      <w:pPr>
        <w:pStyle w:val="Angielski"/>
        <w:rPr/>
      </w:pPr>
      <w:r>
        <w:rPr/>
      </w:r>
    </w:p>
    <w:p>
      <w:pPr>
        <w:pStyle w:val="Angielski"/>
        <w:widowControl/>
        <w:bidi w:val="0"/>
        <w:spacing w:lineRule="auto" w:line="360"/>
        <w:ind w:left="283" w:right="0" w:hanging="283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gwek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643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0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360" w:before="0" w:after="0"/>
      <w:jc w:val="both"/>
    </w:pPr>
    <w:rPr>
      <w:rFonts w:ascii="Liberation Serif" w:hAnsi="Liberation Serif" w:eastAsia="NSimSun" w:cs="Mangal"/>
      <w:color w:val="auto"/>
      <w:kern w:val="2"/>
      <w:sz w:val="24"/>
      <w:szCs w:val="24"/>
      <w:lang w:val="pl-PL" w:eastAsia="zh-CN" w:bidi="hi-IN"/>
    </w:rPr>
  </w:style>
  <w:style w:type="paragraph" w:styleId="Nagwek1">
    <w:name w:val="Heading 1"/>
    <w:basedOn w:val="Nagwek"/>
    <w:next w:val="Tretekstu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retekstu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Znakinumeracji">
    <w:name w:val="Znaki numeracji"/>
    <w:qFormat/>
    <w:rPr/>
  </w:style>
  <w:style w:type="character" w:styleId="Znakiprzypiswdolnych">
    <w:name w:val="Znaki przypisów dolnych"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Czeindeksu">
    <w:name w:val="Łącze indeks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Angielski">
    <w:name w:val="Angielski"/>
    <w:basedOn w:val="Normal"/>
    <w:qFormat/>
    <w:pPr/>
    <w:rPr>
      <w:color w:val="FF0000"/>
      <w:lang w:val="en-GB"/>
    </w:rPr>
  </w:style>
  <w:style w:type="paragraph" w:styleId="Nagwekindeksu">
    <w:name w:val="Index Heading"/>
    <w:basedOn w:val="Nagwek"/>
    <w:pPr>
      <w:suppressLineNumbers/>
      <w:ind w:left="0" w:hanging="0"/>
    </w:pPr>
    <w:rPr>
      <w:b/>
      <w:bCs/>
      <w:sz w:val="32"/>
      <w:szCs w:val="32"/>
    </w:rPr>
  </w:style>
  <w:style w:type="paragraph" w:styleId="TOAHeading">
    <w:name w:val="TOA Heading"/>
    <w:basedOn w:val="Nagwekindeksu"/>
    <w:qFormat/>
    <w:pPr>
      <w:suppressLineNumbers/>
      <w:ind w:left="0" w:hanging="0"/>
    </w:pPr>
    <w:rPr>
      <w:b/>
      <w:bCs/>
      <w:sz w:val="32"/>
      <w:szCs w:val="32"/>
    </w:rPr>
  </w:style>
  <w:style w:type="paragraph" w:styleId="Spistreci1">
    <w:name w:val="TOC 1"/>
    <w:basedOn w:val="Indeks"/>
    <w:pPr>
      <w:tabs>
        <w:tab w:val="clear" w:pos="643"/>
        <w:tab w:val="right" w:pos="9638" w:leader="dot"/>
      </w:tabs>
      <w:ind w:left="0" w:hanging="0"/>
    </w:pPr>
    <w:rPr/>
  </w:style>
  <w:style w:type="paragraph" w:styleId="Spistreci2">
    <w:name w:val="TOC 2"/>
    <w:basedOn w:val="Indeks"/>
    <w:pPr>
      <w:tabs>
        <w:tab w:val="clear" w:pos="643"/>
        <w:tab w:val="right" w:pos="9355" w:leader="dot"/>
      </w:tabs>
      <w:ind w:left="283" w:hanging="0"/>
    </w:pPr>
    <w:rPr/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Nagwekspisutreci">
    <w:name w:val="TOA Heading"/>
    <w:basedOn w:val="Nagwekindeksu"/>
    <w:pPr>
      <w:suppressLineNumbers/>
      <w:ind w:left="0" w:hanging="0"/>
    </w:pPr>
    <w:rPr>
      <w:b/>
      <w:bCs/>
      <w:sz w:val="32"/>
      <w:szCs w:val="3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uccubus.cleverapps.io/livraison/segae/app/" TargetMode="External"/><Relationship Id="rId4" Type="http://schemas.openxmlformats.org/officeDocument/2006/relationships/hyperlink" Target="http://mc.wipie.ur.krakow.pl/segae/" TargetMode="External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281</TotalTime>
  <Application>LibreOffice/6.4.4.2$Linux_X86_64 LibreOffice_project/40$Build-2</Application>
  <Pages>5</Pages>
  <Words>551</Words>
  <Characters>3414</Characters>
  <CharactersWithSpaces>3931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2020-05-31T12:52:07Z</dcterms:created>
  <dc:creator>Michał </dc:creator>
  <dc:description/>
  <dc:language>pl-PL</dc:language>
  <cp:lastModifiedBy>Michał </cp:lastModifiedBy>
  <dcterms:modified xsi:type="dcterms:W3CDTF">2020-06-22T12:33:48Z</dcterms:modified>
  <cp:revision>36</cp:revision>
  <dc:subject/>
  <dc:title/>
</cp:coreProperties>
</file>