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Fiche consignes</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8"/>
          <w:szCs w:val="28"/>
          <w:rtl w:val="0"/>
        </w:rPr>
        <w:t xml:space="preserve">Les attentes de la Société</w:t>
      </w:r>
      <w:r w:rsidDel="00000000" w:rsidR="00000000" w:rsidRPr="00000000">
        <w:rPr>
          <w:rtl w:val="0"/>
        </w:rPr>
      </w:r>
    </w:p>
    <w:p w:rsidR="00000000" w:rsidDel="00000000" w:rsidP="00000000" w:rsidRDefault="00000000" w:rsidRPr="00000000" w14:paraId="00000003">
      <w:pPr>
        <w:keepLines w:val="1"/>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Introduction </w:t>
      </w:r>
    </w:p>
    <w:p w:rsidR="00000000" w:rsidDel="00000000" w:rsidP="00000000" w:rsidRDefault="00000000" w:rsidRPr="00000000" w14:paraId="00000004">
      <w:pPr>
        <w:keepLines w:val="1"/>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5">
      <w:pPr>
        <w:keepLines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L’agriculture a permis le développement des sociétés humaines tout autour du globe. L’augmentation du nombre de personnes à nourrir a fait évoluer les techniques agricoles. L’agriculture et les sociétés sont liées depuis la nuit des temps et s’influencent l’une l’autre.</w:t>
      </w:r>
    </w:p>
    <w:p w:rsidR="00000000" w:rsidDel="00000000" w:rsidP="00000000" w:rsidRDefault="00000000" w:rsidRPr="00000000" w14:paraId="0000000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France, l’agriculture a connue une grande transformation après la seconde guerre mondiale (L. Bourgeois, M. Demotes-Mainard, 2000). dans les années 1950 les besoins de la sociétés Française sont immenses. Les agriculteurs vont alors faire évoluer leurs pratiques pour produire en grande quantité. La mécanisation pénètre dans de nombreuses fermes, les industrielles créent des produits, fertilisants ou pesticides, permettant au agriculteurs d'accroître leur rendement, notamment dans les cultures céréalières. (L. Bourgeois, M. Demotes-Mainard, 2000)</w:t>
      </w:r>
    </w:p>
    <w:p w:rsidR="00000000" w:rsidDel="00000000" w:rsidP="00000000" w:rsidRDefault="00000000" w:rsidRPr="00000000" w14:paraId="0000000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Depuis quelques années maintenant, la profession agricole est souvent pointé du doigt, stigmatisé. En cause, la production de manière intensive qui serait à l’origine de nombreuses pollutions (eau, sol, gaz à effet de serre…). La sensibilisation de la population aux thématiques environnementales mais également au bien-être animal change les habitudes de consommation des Français.</w:t>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A vous de jouer ! </w:t>
      </w:r>
      <w:r w:rsidDel="00000000" w:rsidR="00000000" w:rsidRPr="00000000">
        <w:rPr>
          <w:rtl w:val="0"/>
        </w:rPr>
      </w:r>
    </w:p>
    <w:p w:rsidR="00000000" w:rsidDel="00000000" w:rsidP="00000000" w:rsidRDefault="00000000" w:rsidRPr="00000000" w14:paraId="0000000A">
      <w:pPr>
        <w:spacing w:after="240" w:before="240" w:lineRule="auto"/>
        <w:jc w:val="both"/>
        <w:rPr>
          <w:sz w:val="28"/>
          <w:szCs w:val="28"/>
        </w:rPr>
      </w:pPr>
      <w:r w:rsidDel="00000000" w:rsidR="00000000" w:rsidRPr="00000000">
        <w:rPr>
          <w:rFonts w:ascii="Times New Roman" w:cs="Times New Roman" w:eastAsia="Times New Roman" w:hAnsi="Times New Roman"/>
          <w:sz w:val="24"/>
          <w:szCs w:val="24"/>
          <w:rtl w:val="0"/>
        </w:rPr>
        <w:t xml:space="preserve">Vous êtes agriculteur et possédez une ferme en polyculture élevage (bovin). Vous souhaitez répondre aux attentes de la société. Vous avez droit à cinq actions par an.</w:t>
      </w:r>
      <w:r w:rsidDel="00000000" w:rsidR="00000000" w:rsidRPr="00000000">
        <w:rPr>
          <w:rtl w:val="0"/>
        </w:rPr>
      </w:r>
    </w:p>
    <w:p w:rsidR="00000000" w:rsidDel="00000000" w:rsidP="00000000" w:rsidRDefault="00000000" w:rsidRPr="00000000" w14:paraId="0000000B">
      <w:pPr>
        <w:spacing w:after="240" w:before="240" w:line="240" w:lineRule="auto"/>
        <w:rPr>
          <w:b w:val="1"/>
          <w:sz w:val="28"/>
          <w:szCs w:val="28"/>
        </w:rPr>
      </w:pP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anchor allowOverlap="1" behindDoc="0" distB="114300" distT="114300" distL="114300" distR="114300" hidden="0" layoutInCell="1" locked="0" relativeHeight="0" simplePos="0">
            <wp:simplePos x="0" y="0"/>
            <wp:positionH relativeFrom="page">
              <wp:posOffset>571500</wp:posOffset>
            </wp:positionH>
            <wp:positionV relativeFrom="page">
              <wp:posOffset>7410450</wp:posOffset>
            </wp:positionV>
            <wp:extent cx="219075" cy="247650"/>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19075" cy="247650"/>
                    </a:xfrm>
                    <a:prstGeom prst="rect"/>
                    <a:ln/>
                  </pic:spPr>
                </pic:pic>
              </a:graphicData>
            </a:graphic>
          </wp:anchor>
        </w:drawing>
      </w:r>
      <w:r w:rsidDel="00000000" w:rsidR="00000000" w:rsidRPr="00000000">
        <w:rPr>
          <w:rFonts w:ascii="Times New Roman" w:cs="Times New Roman" w:eastAsia="Times New Roman" w:hAnsi="Times New Roman"/>
          <w:b w:val="1"/>
          <w:sz w:val="24"/>
          <w:szCs w:val="24"/>
          <w:u w:val="single"/>
          <w:rtl w:val="0"/>
        </w:rPr>
        <w:t xml:space="preserve">I.  Les bases des attentes de la société</w:t>
      </w:r>
    </w:p>
    <w:p w:rsidR="00000000" w:rsidDel="00000000" w:rsidP="00000000" w:rsidRDefault="00000000" w:rsidRPr="00000000" w14:paraId="0000000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D’après ce qui a été présenté précédemment et de ce que vous pensez, dégagez les 4 attentes majeures de la société vis à vis de l’agriculture. </w:t>
      </w:r>
    </w:p>
    <w:p w:rsidR="00000000" w:rsidDel="00000000" w:rsidP="00000000" w:rsidRDefault="00000000" w:rsidRPr="00000000" w14:paraId="0000000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Essayez de classer ces attentes selon leur ordre d’importance dans la société. </w:t>
      </w:r>
      <w:r w:rsidDel="00000000" w:rsidR="00000000" w:rsidRPr="00000000">
        <w:rPr>
          <w:rtl w:val="0"/>
        </w:rPr>
      </w:r>
    </w:p>
    <w:p w:rsidR="00000000" w:rsidDel="00000000" w:rsidP="00000000" w:rsidRDefault="00000000" w:rsidRPr="00000000" w14:paraId="0000000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II. Pour aller plus loin</w:t>
      </w:r>
      <w:r w:rsidDel="00000000" w:rsidR="00000000" w:rsidRPr="00000000">
        <w:drawing>
          <wp:anchor allowOverlap="1" behindDoc="0" distB="114300" distT="114300" distL="114300" distR="114300" hidden="0" layoutInCell="1" locked="0" relativeHeight="0" simplePos="0">
            <wp:simplePos x="0" y="0"/>
            <wp:positionH relativeFrom="column">
              <wp:posOffset>-390524</wp:posOffset>
            </wp:positionH>
            <wp:positionV relativeFrom="paragraph">
              <wp:posOffset>114300</wp:posOffset>
            </wp:positionV>
            <wp:extent cx="219075" cy="290513"/>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19075" cy="290513"/>
                    </a:xfrm>
                    <a:prstGeom prst="rect"/>
                    <a:ln/>
                  </pic:spPr>
                </pic:pic>
              </a:graphicData>
            </a:graphic>
          </wp:anchor>
        </w:drawing>
      </w:r>
    </w:p>
    <w:p w:rsidR="00000000" w:rsidDel="00000000" w:rsidP="00000000" w:rsidRDefault="00000000" w:rsidRPr="00000000" w14:paraId="0000001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Maintenant, essayez de réfléchir aux modifications à  mettre en place afin de pouvoir répondre au mieux à ces attentes. </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Pour valider le scénario, vous devez atteindre les objectifs suivants : </w:t>
      </w:r>
      <w:r w:rsidDel="00000000" w:rsidR="00000000" w:rsidRPr="00000000">
        <w:rPr>
          <w:rtl w:val="0"/>
        </w:rPr>
      </w:r>
    </w:p>
    <w:p w:rsidR="00000000" w:rsidDel="00000000" w:rsidP="00000000" w:rsidRDefault="00000000" w:rsidRPr="00000000" w14:paraId="00000015">
      <w:pPr>
        <w:numPr>
          <w:ilvl w:val="0"/>
          <w:numId w:val="2"/>
        </w:numPr>
        <w:spacing w:after="0" w:afterAutospacing="0" w:befor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Bien être animal :</w:t>
        <w:tab/>
        <w:tab/>
        <w:tab/>
        <w:tab/>
        <w:tab/>
        <w:tab/>
        <w:tab/>
        <w:t xml:space="preserve">&gt; ou égal à 0.68</w:t>
      </w:r>
    </w:p>
    <w:p w:rsidR="00000000" w:rsidDel="00000000" w:rsidP="00000000" w:rsidRDefault="00000000" w:rsidRPr="00000000" w14:paraId="00000016">
      <w:pPr>
        <w:numPr>
          <w:ilvl w:val="0"/>
          <w:numId w:val="2"/>
        </w:numPr>
        <w:spacing w:after="0" w:afterAutospacing="0" w:before="0" w:before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Production de nourriture :</w:t>
        <w:tab/>
        <w:tab/>
        <w:tab/>
        <w:tab/>
        <w:tab/>
        <w:tab/>
        <w:t xml:space="preserve">&gt; ou égal à 0.7</w:t>
      </w:r>
    </w:p>
    <w:p w:rsidR="00000000" w:rsidDel="00000000" w:rsidP="00000000" w:rsidRDefault="00000000" w:rsidRPr="00000000" w14:paraId="00000017">
      <w:pPr>
        <w:numPr>
          <w:ilvl w:val="0"/>
          <w:numId w:val="2"/>
        </w:numPr>
        <w:spacing w:after="0" w:afterAutospacing="0" w:before="0" w:before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Durabilité environnementale : </w:t>
        <w:tab/>
        <w:tab/>
        <w:tab/>
        <w:tab/>
        <w:tab/>
        <w:t xml:space="preserve">&gt; ou égal à 0.7</w:t>
      </w:r>
    </w:p>
    <w:p w:rsidR="00000000" w:rsidDel="00000000" w:rsidP="00000000" w:rsidRDefault="00000000" w:rsidRPr="00000000" w14:paraId="00000018">
      <w:pPr>
        <w:numPr>
          <w:ilvl w:val="0"/>
          <w:numId w:val="2"/>
        </w:numPr>
        <w:spacing w:after="240" w:before="0" w:before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Durabilité globale :</w:t>
        <w:tab/>
        <w:tab/>
        <w:t xml:space="preserve"> </w:t>
        <w:tab/>
        <w:tab/>
        <w:tab/>
        <w:tab/>
        <w:tab/>
        <w:t xml:space="preserve">&gt; ou égal à 0.65</w:t>
      </w: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rtl w:val="0"/>
        </w:rPr>
      </w:r>
    </w:p>
    <w:p w:rsidR="00000000" w:rsidDel="00000000" w:rsidP="00000000" w:rsidRDefault="00000000" w:rsidRPr="00000000" w14:paraId="00000033">
      <w:pPr>
        <w:spacing w:after="240" w:before="240" w:lineRule="auto"/>
        <w:jc w:val="center"/>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Fiche réponses</w:t>
      </w:r>
    </w:p>
    <w:p w:rsidR="00000000" w:rsidDel="00000000" w:rsidP="00000000" w:rsidRDefault="00000000" w:rsidRPr="00000000" w14:paraId="00000034">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Les attentes de la société</w:t>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400050</wp:posOffset>
            </wp:positionV>
            <wp:extent cx="219075" cy="247650"/>
            <wp:effectExtent b="0" l="0" r="0" t="0"/>
            <wp:wrapSquare wrapText="bothSides" distB="114300" distT="114300" distL="114300" distR="114300"/>
            <wp:docPr id="7"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19075" cy="247650"/>
                    </a:xfrm>
                    <a:prstGeom prst="rect"/>
                    <a:ln/>
                  </pic:spPr>
                </pic:pic>
              </a:graphicData>
            </a:graphic>
          </wp:anchor>
        </w:drawing>
      </w:r>
    </w:p>
    <w:p w:rsidR="00000000" w:rsidDel="00000000" w:rsidP="00000000" w:rsidRDefault="00000000" w:rsidRPr="00000000" w14:paraId="00000035">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 Les bases des attentes de la société</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actuelle attend des agriculteurs qu’ils produisent différemment, plus respectueux de l'environnement, un meilleur traitement des animaux d’élevage (stratégie gouvernementale 2016-2020), tout en assurant une qualité sanitaire et nutritive des produits.</w:t>
      </w:r>
    </w:p>
    <w:p w:rsidR="00000000" w:rsidDel="00000000" w:rsidP="00000000" w:rsidRDefault="00000000" w:rsidRPr="00000000" w14:paraId="0000003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française estime que le rôle des agriculteurs est important pour la préservation de l’environnement (qualité de l’air, de l’eau, des sols, diversité animale et végétale) à 90%, Maintien d’une vie rurale active à 85% (création d’emploi), et entretien du paysage et aménagement de la campagne à 84%. (Ifop 2000) </w:t>
      </w:r>
    </w:p>
    <w:p w:rsidR="00000000" w:rsidDel="00000000" w:rsidP="00000000" w:rsidRDefault="00000000" w:rsidRPr="00000000" w14:paraId="0000003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 à vis de l’élevage, la société émet aussi des attentes. La principale est l’accès des animaux au plein air. De plus, ressort aussi de cette étude la notion de bien être animal, et une limitation du nombre d’animaux par élevage. (Delanoue et al. 2017)</w:t>
      </w: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Ainsi, les quatres attentes majeures de la société sont par ordre d’importance: </w:t>
      </w:r>
    </w:p>
    <w:p w:rsidR="00000000" w:rsidDel="00000000" w:rsidP="00000000" w:rsidRDefault="00000000" w:rsidRPr="00000000" w14:paraId="0000003D">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préservation de l’environnement</w:t>
      </w:r>
    </w:p>
    <w:p w:rsidR="00000000" w:rsidDel="00000000" w:rsidP="00000000" w:rsidRDefault="00000000" w:rsidRPr="00000000" w14:paraId="0000003E">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 bien être animal </w:t>
      </w:r>
    </w:p>
    <w:p w:rsidR="00000000" w:rsidDel="00000000" w:rsidP="00000000" w:rsidRDefault="00000000" w:rsidRPr="00000000" w14:paraId="0000003F">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production de nourriture </w:t>
      </w:r>
    </w:p>
    <w:p w:rsidR="00000000" w:rsidDel="00000000" w:rsidP="00000000" w:rsidRDefault="00000000" w:rsidRPr="00000000" w14:paraId="00000040">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contribution à l’emploi </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II. Pour aller plus loin</w:t>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114300</wp:posOffset>
            </wp:positionV>
            <wp:extent cx="219075" cy="247650"/>
            <wp:effectExtent b="0" l="0" r="0" t="0"/>
            <wp:wrapSquare wrapText="bothSides" distB="114300" distT="114300" distL="114300" distR="114300"/>
            <wp:docPr id="9"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19075" cy="247650"/>
                    </a:xfrm>
                    <a:prstGeom prst="rect"/>
                    <a:ln/>
                  </pic:spPr>
                </pic:pic>
              </a:graphicData>
            </a:graphic>
          </wp:anchor>
        </w:drawing>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ind w:left="0" w:firstLine="0"/>
        <w:jc w:val="both"/>
        <w:rPr>
          <w:rFonts w:ascii="Times New Roman" w:cs="Times New Roman" w:eastAsia="Times New Roman" w:hAnsi="Times New Roman"/>
          <w:sz w:val="24"/>
          <w:szCs w:val="24"/>
        </w:rPr>
      </w:pPr>
      <w:r w:rsidDel="00000000" w:rsidR="00000000" w:rsidRPr="00000000">
        <w:rPr>
          <w:sz w:val="24"/>
          <w:szCs w:val="24"/>
          <w:rtl w:val="0"/>
        </w:rPr>
        <w:tab/>
      </w:r>
      <w:r w:rsidDel="00000000" w:rsidR="00000000" w:rsidRPr="00000000">
        <w:rPr>
          <w:rFonts w:ascii="Times New Roman" w:cs="Times New Roman" w:eastAsia="Times New Roman" w:hAnsi="Times New Roman"/>
          <w:sz w:val="24"/>
          <w:szCs w:val="24"/>
          <w:rtl w:val="0"/>
        </w:rPr>
        <w:t xml:space="preserve">Pour répondre au mieux aux attentes de la société, et atteindre le niveau des indicateurs demandé, plusieurs actions sont recommandées. </w:t>
      </w:r>
    </w:p>
    <w:p w:rsidR="00000000" w:rsidDel="00000000" w:rsidP="00000000" w:rsidRDefault="00000000" w:rsidRPr="00000000" w14:paraId="0000004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5"/>
        </w:numPr>
        <w:spacing w:after="240" w:befor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anchor allowOverlap="1" behindDoc="0" distB="114300" distT="114300" distL="114300" distR="114300" hidden="0" layoutInCell="1" locked="0" relativeHeight="0" simplePos="0">
            <wp:simplePos x="0" y="0"/>
            <wp:positionH relativeFrom="page">
              <wp:posOffset>1090613</wp:posOffset>
            </wp:positionH>
            <wp:positionV relativeFrom="page">
              <wp:posOffset>7877175</wp:posOffset>
            </wp:positionV>
            <wp:extent cx="257175" cy="266700"/>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7175" cy="266700"/>
                    </a:xfrm>
                    <a:prstGeom prst="rect"/>
                    <a:ln/>
                  </pic:spPr>
                </pic:pic>
              </a:graphicData>
            </a:graphic>
          </wp:anchor>
        </w:drawing>
      </w:r>
      <w:r w:rsidDel="00000000" w:rsidR="00000000" w:rsidRPr="00000000">
        <w:rPr>
          <w:rFonts w:ascii="Times New Roman" w:cs="Times New Roman" w:eastAsia="Times New Roman" w:hAnsi="Times New Roman"/>
          <w:rtl w:val="0"/>
        </w:rPr>
        <w:t xml:space="preserve">La réduction de l’utilisation de pesticides, permettant d’augmenter la durabilité environnementale </w:t>
      </w:r>
    </w:p>
    <w:p w:rsidR="00000000" w:rsidDel="00000000" w:rsidP="00000000" w:rsidRDefault="00000000" w:rsidRPr="00000000" w14:paraId="00000048">
      <w:pPr>
        <w:spacing w:after="240" w:before="240" w:lineRule="auto"/>
        <w:ind w:left="720" w:firstLine="0"/>
        <w:jc w:val="both"/>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304800</wp:posOffset>
            </wp:positionV>
            <wp:extent cx="266700" cy="266700"/>
            <wp:effectExtent b="0" l="0" r="0" t="0"/>
            <wp:wrapSquare wrapText="bothSides" distB="114300" distT="114300" distL="114300" distR="114300"/>
            <wp:docPr id="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66700" cy="266700"/>
                    </a:xfrm>
                    <a:prstGeom prst="rect"/>
                    <a:ln/>
                  </pic:spPr>
                </pic:pic>
              </a:graphicData>
            </a:graphic>
          </wp:anchor>
        </w:drawing>
      </w:r>
    </w:p>
    <w:p w:rsidR="00000000" w:rsidDel="00000000" w:rsidP="00000000" w:rsidRDefault="00000000" w:rsidRPr="00000000" w14:paraId="00000049">
      <w:pPr>
        <w:numPr>
          <w:ilvl w:val="0"/>
          <w:numId w:val="3"/>
        </w:numPr>
        <w:spacing w:after="240" w:befor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changement de l’alimentation animale, avec plus de temps à l’extérieur, permettant d’augmenter le bien être animal. Mais aussi le changement du </w:t>
      </w:r>
      <w:r w:rsidDel="00000000" w:rsidR="00000000" w:rsidRPr="00000000">
        <w:rPr>
          <w:rFonts w:ascii="Times New Roman" w:cs="Times New Roman" w:eastAsia="Times New Roman" w:hAnsi="Times New Roman"/>
          <w:i w:val="1"/>
          <w:rtl w:val="0"/>
        </w:rPr>
        <w:t xml:space="preserve">cow housing system</w:t>
      </w:r>
      <w:r w:rsidDel="00000000" w:rsidR="00000000" w:rsidRPr="00000000">
        <w:rPr>
          <w:rFonts w:ascii="Times New Roman" w:cs="Times New Roman" w:eastAsia="Times New Roman" w:hAnsi="Times New Roman"/>
          <w:rtl w:val="0"/>
        </w:rPr>
        <w:t xml:space="preserve"> pour passer en </w:t>
      </w:r>
      <w:r w:rsidDel="00000000" w:rsidR="00000000" w:rsidRPr="00000000">
        <w:rPr>
          <w:rFonts w:ascii="Times New Roman" w:cs="Times New Roman" w:eastAsia="Times New Roman" w:hAnsi="Times New Roman"/>
          <w:i w:val="1"/>
          <w:rtl w:val="0"/>
        </w:rPr>
        <w:t xml:space="preserve">deep bedding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anchor allowOverlap="1" behindDoc="0" distB="114300" distT="114300" distL="114300" distR="114300" hidden="0" layoutInCell="1" locked="0" relativeHeight="0" simplePos="0">
            <wp:simplePos x="0" y="0"/>
            <wp:positionH relativeFrom="page">
              <wp:posOffset>1066800</wp:posOffset>
            </wp:positionH>
            <wp:positionV relativeFrom="page">
              <wp:posOffset>1219200</wp:posOffset>
            </wp:positionV>
            <wp:extent cx="300038" cy="27622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00038" cy="276225"/>
                    </a:xfrm>
                    <a:prstGeom prst="rect"/>
                    <a:ln/>
                  </pic:spPr>
                </pic:pic>
              </a:graphicData>
            </a:graphic>
          </wp:anchor>
        </w:drawing>
      </w:r>
      <w:r w:rsidDel="00000000" w:rsidR="00000000" w:rsidRPr="00000000">
        <w:rPr>
          <w:rtl w:val="0"/>
        </w:rPr>
      </w:r>
    </w:p>
    <w:p w:rsidR="00000000" w:rsidDel="00000000" w:rsidP="00000000" w:rsidRDefault="00000000" w:rsidRPr="00000000" w14:paraId="0000004B">
      <w:pPr>
        <w:numPr>
          <w:ilvl w:val="0"/>
          <w:numId w:val="1"/>
        </w:numPr>
        <w:spacing w:after="240" w:befor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mise en place d’agroforesterie ou d’infrastructures vertes permet d’augmenter la préservation, même si cela fait un peu baisser la production de nourriture. </w:t>
      </w:r>
    </w:p>
    <w:p w:rsidR="00000000" w:rsidDel="00000000" w:rsidP="00000000" w:rsidRDefault="00000000" w:rsidRPr="00000000" w14:paraId="0000004C">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pStyle w:val="Heading1"/>
        <w:spacing w:after="240" w:before="240" w:lineRule="auto"/>
        <w:jc w:val="center"/>
        <w:rPr>
          <w:rFonts w:ascii="Times New Roman" w:cs="Times New Roman" w:eastAsia="Times New Roman" w:hAnsi="Times New Roman"/>
          <w:b w:val="1"/>
          <w:color w:val="385623"/>
          <w:sz w:val="28"/>
          <w:szCs w:val="28"/>
        </w:rPr>
      </w:pPr>
      <w:bookmarkStart w:colFirst="0" w:colLast="0" w:name="_xbqqnrk4tjru" w:id="0"/>
      <w:bookmarkEnd w:id="0"/>
      <w:r w:rsidDel="00000000" w:rsidR="00000000" w:rsidRPr="00000000">
        <w:rPr>
          <w:rFonts w:ascii="Times New Roman" w:cs="Times New Roman" w:eastAsia="Times New Roman" w:hAnsi="Times New Roman"/>
          <w:b w:val="1"/>
          <w:color w:val="385623"/>
          <w:sz w:val="28"/>
          <w:szCs w:val="28"/>
        </w:rPr>
        <w:drawing>
          <wp:inline distB="114300" distT="114300" distL="114300" distR="114300">
            <wp:extent cx="219075" cy="247650"/>
            <wp:effectExtent b="0" l="0" r="0" t="0"/>
            <wp:docPr id="11"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19075" cy="247650"/>
                    </a:xfrm>
                    <a:prstGeom prst="rect"/>
                    <a:ln/>
                  </pic:spPr>
                </pic:pic>
              </a:graphicData>
            </a:graphic>
          </wp:inline>
        </w:drawing>
      </w:r>
      <w:r w:rsidDel="00000000" w:rsidR="00000000" w:rsidRPr="00000000">
        <w:rPr>
          <w:rFonts w:ascii="Times New Roman" w:cs="Times New Roman" w:eastAsia="Times New Roman" w:hAnsi="Times New Roman"/>
          <w:b w:val="1"/>
          <w:color w:val="385623"/>
          <w:sz w:val="28"/>
          <w:szCs w:val="28"/>
          <w:rtl w:val="0"/>
        </w:rPr>
        <w:t xml:space="preserve">Bibliographie </w:t>
      </w:r>
      <w:r w:rsidDel="00000000" w:rsidR="00000000" w:rsidRPr="00000000">
        <w:rPr>
          <w:rFonts w:ascii="Times New Roman" w:cs="Times New Roman" w:eastAsia="Times New Roman" w:hAnsi="Times New Roman"/>
          <w:b w:val="1"/>
          <w:color w:val="385623"/>
          <w:sz w:val="28"/>
          <w:szCs w:val="28"/>
        </w:rPr>
        <w:drawing>
          <wp:inline distB="114300" distT="114300" distL="114300" distR="114300">
            <wp:extent cx="219075" cy="24765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19075"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keepLines w:val="1"/>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keepLines w:val="1"/>
        <w:spacing w:after="0" w:line="264"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 Bourgeois, M. Demotes-Mainard</w:t>
      </w:r>
      <w:r w:rsidDel="00000000" w:rsidR="00000000" w:rsidRPr="00000000">
        <w:rPr>
          <w:rFonts w:ascii="Times New Roman" w:cs="Times New Roman" w:eastAsia="Times New Roman" w:hAnsi="Times New Roman"/>
          <w:sz w:val="24"/>
          <w:szCs w:val="24"/>
          <w:rtl w:val="0"/>
        </w:rPr>
        <w:t xml:space="preserve">, 2000. Les cinquante ans qui ont changé l'agriculture française. Économie rurale  Année 2000  255-256  pp. 14-20</w:t>
      </w:r>
    </w:p>
    <w:p w:rsidR="00000000" w:rsidDel="00000000" w:rsidP="00000000" w:rsidRDefault="00000000" w:rsidRPr="00000000" w14:paraId="00000051">
      <w:pPr>
        <w:keepLines w:val="1"/>
        <w:spacing w:after="0" w:line="264" w:lineRule="auto"/>
        <w:ind w:left="0" w:firstLine="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b w:val="1"/>
          <w:color w:val="282828"/>
          <w:sz w:val="24"/>
          <w:szCs w:val="24"/>
          <w:rtl w:val="0"/>
        </w:rPr>
        <w:t xml:space="preserve">Delanoue et al.</w:t>
      </w:r>
      <w:r w:rsidDel="00000000" w:rsidR="00000000" w:rsidRPr="00000000">
        <w:rPr>
          <w:rFonts w:ascii="Times New Roman" w:cs="Times New Roman" w:eastAsia="Times New Roman" w:hAnsi="Times New Roman"/>
          <w:color w:val="282828"/>
          <w:sz w:val="24"/>
          <w:szCs w:val="24"/>
          <w:rtl w:val="0"/>
        </w:rPr>
        <w:t xml:space="preserve">, 2017. Points de vue et attentes des consommateurs et citoyens vis-à-vis de l’élevage. Une étude quantitative auprès de 2 000 personnes en France. Journée Rech. Porcine, 49, 295-300.</w:t>
      </w:r>
    </w:p>
    <w:p w:rsidR="00000000" w:rsidDel="00000000" w:rsidP="00000000" w:rsidRDefault="00000000" w:rsidRPr="00000000" w14:paraId="00000052">
      <w:pPr>
        <w:keepLines w:val="1"/>
        <w:spacing w:after="0" w:line="264"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Gouvernement français</w:t>
      </w:r>
      <w:r w:rsidDel="00000000" w:rsidR="00000000" w:rsidRPr="00000000">
        <w:rPr>
          <w:rFonts w:ascii="Times New Roman" w:cs="Times New Roman" w:eastAsia="Times New Roman" w:hAnsi="Times New Roman"/>
          <w:sz w:val="24"/>
          <w:szCs w:val="24"/>
          <w:rtl w:val="0"/>
        </w:rPr>
        <w:t xml:space="preserve">, 2020. 2016-2020: stratégie gouvernementale </w:t>
      </w:r>
      <w:r w:rsidDel="00000000" w:rsidR="00000000" w:rsidRPr="00000000">
        <w:rPr>
          <w:rFonts w:ascii="Times New Roman" w:cs="Times New Roman" w:eastAsia="Times New Roman" w:hAnsi="Times New Roman"/>
          <w:color w:val="191717"/>
          <w:sz w:val="24"/>
          <w:szCs w:val="24"/>
          <w:highlight w:val="white"/>
          <w:rtl w:val="0"/>
        </w:rPr>
        <w:t xml:space="preserve">pour le bien-être des animaux en France. </w:t>
      </w:r>
      <w:hyperlink r:id="rId11">
        <w:r w:rsidDel="00000000" w:rsidR="00000000" w:rsidRPr="00000000">
          <w:rPr>
            <w:rFonts w:ascii="Times New Roman" w:cs="Times New Roman" w:eastAsia="Times New Roman" w:hAnsi="Times New Roman"/>
            <w:sz w:val="24"/>
            <w:szCs w:val="24"/>
            <w:highlight w:val="white"/>
            <w:u w:val="single"/>
            <w:rtl w:val="0"/>
          </w:rPr>
          <w:t xml:space="preserve">https://agriculture.gouv.fr/2016-2020-une-strategie-globale-pour-le-bien-etre-des-animaux-en-france</w:t>
        </w:r>
      </w:hyperlink>
      <w:r w:rsidDel="00000000" w:rsidR="00000000" w:rsidRPr="00000000">
        <w:rPr>
          <w:rtl w:val="0"/>
        </w:rPr>
      </w:r>
    </w:p>
    <w:p w:rsidR="00000000" w:rsidDel="00000000" w:rsidP="00000000" w:rsidRDefault="00000000" w:rsidRPr="00000000" w14:paraId="00000053">
      <w:pPr>
        <w:keepLines w:val="1"/>
        <w:shd w:fill="ffffff" w:val="clear"/>
        <w:spacing w:after="0" w:line="264"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Sondage ipsos</w:t>
      </w:r>
      <w:r w:rsidDel="00000000" w:rsidR="00000000" w:rsidRPr="00000000">
        <w:rPr>
          <w:rFonts w:ascii="Times New Roman" w:cs="Times New Roman" w:eastAsia="Times New Roman" w:hAnsi="Times New Roman"/>
          <w:sz w:val="24"/>
          <w:szCs w:val="24"/>
          <w:rtl w:val="0"/>
        </w:rPr>
        <w:t xml:space="preserve">, 1999. Le rôle économique et social de l'agriculture est reconnu par les Français. </w:t>
      </w:r>
      <w:r w:rsidDel="00000000" w:rsidR="00000000" w:rsidRPr="00000000">
        <w:rPr>
          <w:rtl w:val="0"/>
        </w:rPr>
      </w:r>
    </w:p>
    <w:p w:rsidR="00000000" w:rsidDel="00000000" w:rsidP="00000000" w:rsidRDefault="00000000" w:rsidRPr="00000000" w14:paraId="00000054">
      <w:pPr>
        <w:keepLines w:val="1"/>
        <w:shd w:fill="ffffff" w:val="clear"/>
        <w:spacing w:after="0" w:line="264" w:lineRule="auto"/>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b w:val="1"/>
          <w:sz w:val="24"/>
          <w:szCs w:val="24"/>
          <w:rtl w:val="0"/>
        </w:rPr>
        <w:t xml:space="preserve">Sondage Ipsos / Ministère agriculture</w:t>
      </w:r>
      <w:r w:rsidDel="00000000" w:rsidR="00000000" w:rsidRPr="00000000">
        <w:rPr>
          <w:rFonts w:ascii="Times New Roman" w:cs="Times New Roman" w:eastAsia="Times New Roman" w:hAnsi="Times New Roman"/>
          <w:sz w:val="24"/>
          <w:szCs w:val="24"/>
          <w:rtl w:val="0"/>
        </w:rPr>
        <w:t xml:space="preserve">, 2000. </w:t>
      </w:r>
      <w:r w:rsidDel="00000000" w:rsidR="00000000" w:rsidRPr="00000000">
        <w:rPr>
          <w:rFonts w:ascii="Times New Roman" w:cs="Times New Roman" w:eastAsia="Times New Roman" w:hAnsi="Times New Roman"/>
          <w:color w:val="282828"/>
          <w:sz w:val="24"/>
          <w:szCs w:val="24"/>
          <w:rtl w:val="0"/>
        </w:rPr>
        <w:t xml:space="preserve">Les Français sont très attachés à leurs agriculteurs.</w:t>
      </w:r>
    </w:p>
    <w:p w:rsidR="00000000" w:rsidDel="00000000" w:rsidP="00000000" w:rsidRDefault="00000000" w:rsidRPr="00000000" w14:paraId="00000055">
      <w:pPr>
        <w:keepLines w:val="1"/>
        <w:shd w:fill="ffffff" w:val="clear"/>
        <w:spacing w:after="0" w:line="264" w:lineRule="auto"/>
        <w:rPr>
          <w:rFonts w:ascii="Times New Roman" w:cs="Times New Roman" w:eastAsia="Times New Roman" w:hAnsi="Times New Roman"/>
          <w:color w:val="282828"/>
          <w:sz w:val="24"/>
          <w:szCs w:val="24"/>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b w:val="1"/>
          <w:color w:val="385623"/>
          <w:sz w:val="28"/>
          <w:szCs w:val="28"/>
        </w:rPr>
      </w:pPr>
      <w:r w:rsidDel="00000000" w:rsidR="00000000" w:rsidRPr="00000000">
        <w:rPr>
          <w:rFonts w:ascii="Times New Roman" w:cs="Times New Roman" w:eastAsia="Times New Roman" w:hAnsi="Times New Roman"/>
          <w:b w:val="1"/>
          <w:color w:val="385623"/>
          <w:sz w:val="28"/>
          <w:szCs w:val="28"/>
        </w:rPr>
        <w:drawing>
          <wp:inline distB="114300" distT="114300" distL="114300" distR="114300">
            <wp:extent cx="219075" cy="247650"/>
            <wp:effectExtent b="0" l="0" r="0" t="0"/>
            <wp:docPr id="10"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19075" cy="247650"/>
                    </a:xfrm>
                    <a:prstGeom prst="rect"/>
                    <a:ln/>
                  </pic:spPr>
                </pic:pic>
              </a:graphicData>
            </a:graphic>
          </wp:inline>
        </w:drawing>
      </w:r>
      <w:r w:rsidDel="00000000" w:rsidR="00000000" w:rsidRPr="00000000">
        <w:rPr>
          <w:rFonts w:ascii="Times New Roman" w:cs="Times New Roman" w:eastAsia="Times New Roman" w:hAnsi="Times New Roman"/>
          <w:b w:val="1"/>
          <w:color w:val="385623"/>
          <w:sz w:val="28"/>
          <w:szCs w:val="28"/>
          <w:rtl w:val="0"/>
        </w:rPr>
        <w:t xml:space="preserve">  Auteurs  </w:t>
      </w:r>
      <w:r w:rsidDel="00000000" w:rsidR="00000000" w:rsidRPr="00000000">
        <w:rPr>
          <w:rFonts w:ascii="Times New Roman" w:cs="Times New Roman" w:eastAsia="Times New Roman" w:hAnsi="Times New Roman"/>
          <w:b w:val="1"/>
          <w:color w:val="385623"/>
          <w:sz w:val="28"/>
          <w:szCs w:val="28"/>
        </w:rPr>
        <w:drawing>
          <wp:inline distB="114300" distT="114300" distL="114300" distR="114300">
            <wp:extent cx="219075" cy="247650"/>
            <wp:effectExtent b="0" l="0" r="0" t="0"/>
            <wp:docPr id="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19075"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color w:val="385623"/>
        </w:rPr>
      </w:pPr>
      <w:r w:rsidDel="00000000" w:rsidR="00000000" w:rsidRPr="00000000">
        <w:rPr>
          <w:rFonts w:ascii="Times New Roman" w:cs="Times New Roman" w:eastAsia="Times New Roman" w:hAnsi="Times New Roman"/>
          <w:color w:val="385623"/>
          <w:rtl w:val="0"/>
        </w:rPr>
        <w:t xml:space="preserve">NUFFER Pierre, </w:t>
      </w:r>
      <w:r w:rsidDel="00000000" w:rsidR="00000000" w:rsidRPr="00000000">
        <w:rPr>
          <w:rFonts w:ascii="Times New Roman" w:cs="Times New Roman" w:eastAsia="Times New Roman" w:hAnsi="Times New Roman"/>
          <w:color w:val="385623"/>
          <w:rtl w:val="0"/>
        </w:rPr>
        <w:t xml:space="preserve">OGEL Nathan, GUIGOU Julien,</w:t>
      </w:r>
    </w:p>
    <w:p w:rsidR="00000000" w:rsidDel="00000000" w:rsidP="00000000" w:rsidRDefault="00000000" w:rsidRPr="00000000" w14:paraId="00000058">
      <w:pPr>
        <w:jc w:val="center"/>
        <w:rPr>
          <w:rFonts w:ascii="Times New Roman" w:cs="Times New Roman" w:eastAsia="Times New Roman" w:hAnsi="Times New Roman"/>
          <w:color w:val="385623"/>
          <w:sz w:val="18"/>
          <w:szCs w:val="18"/>
        </w:rPr>
      </w:pPr>
      <w:r w:rsidDel="00000000" w:rsidR="00000000" w:rsidRPr="00000000">
        <w:rPr>
          <w:rFonts w:ascii="Times New Roman" w:cs="Times New Roman" w:eastAsia="Times New Roman" w:hAnsi="Times New Roman"/>
          <w:color w:val="385623"/>
          <w:sz w:val="18"/>
          <w:szCs w:val="18"/>
          <w:rtl w:val="0"/>
        </w:rPr>
        <w:t xml:space="preserve"> avec la participation de </w:t>
      </w:r>
    </w:p>
    <w:p w:rsidR="00000000" w:rsidDel="00000000" w:rsidP="00000000" w:rsidRDefault="00000000" w:rsidRPr="00000000" w14:paraId="00000059">
      <w:pPr>
        <w:jc w:val="center"/>
        <w:rPr>
          <w:rFonts w:ascii="Times New Roman" w:cs="Times New Roman" w:eastAsia="Times New Roman" w:hAnsi="Times New Roman"/>
          <w:color w:val="385623"/>
          <w:sz w:val="18"/>
          <w:szCs w:val="18"/>
        </w:rPr>
      </w:pPr>
      <w:r w:rsidDel="00000000" w:rsidR="00000000" w:rsidRPr="00000000">
        <w:rPr>
          <w:rFonts w:ascii="Times New Roman" w:cs="Times New Roman" w:eastAsia="Times New Roman" w:hAnsi="Times New Roman"/>
          <w:color w:val="385623"/>
          <w:sz w:val="18"/>
          <w:szCs w:val="18"/>
          <w:rtl w:val="0"/>
        </w:rPr>
        <w:t xml:space="preserve">SCHOTT Roxane</w:t>
      </w:r>
    </w:p>
    <w:p w:rsidR="00000000" w:rsidDel="00000000" w:rsidP="00000000" w:rsidRDefault="00000000" w:rsidRPr="00000000" w14:paraId="0000005A">
      <w:pPr>
        <w:jc w:val="center"/>
        <w:rPr>
          <w:rFonts w:ascii="Times New Roman" w:cs="Times New Roman" w:eastAsia="Times New Roman" w:hAnsi="Times New Roman"/>
          <w:color w:val="385623"/>
          <w:sz w:val="18"/>
          <w:szCs w:val="18"/>
        </w:rPr>
      </w:pPr>
      <w:r w:rsidDel="00000000" w:rsidR="00000000" w:rsidRPr="00000000">
        <w:rPr>
          <w:rFonts w:ascii="Times New Roman" w:cs="Times New Roman" w:eastAsia="Times New Roman" w:hAnsi="Times New Roman"/>
          <w:color w:val="385623"/>
          <w:sz w:val="18"/>
          <w:szCs w:val="18"/>
          <w:rtl w:val="0"/>
        </w:rPr>
        <w:t xml:space="preserve">PAGLIARO Rosalba</w:t>
      </w:r>
    </w:p>
    <w:p w:rsidR="00000000" w:rsidDel="00000000" w:rsidP="00000000" w:rsidRDefault="00000000" w:rsidRPr="00000000" w14:paraId="0000005B">
      <w:pPr>
        <w:jc w:val="center"/>
        <w:rPr>
          <w:rFonts w:ascii="Times New Roman" w:cs="Times New Roman" w:eastAsia="Times New Roman" w:hAnsi="Times New Roman"/>
          <w:color w:val="385623"/>
          <w:sz w:val="18"/>
          <w:szCs w:val="18"/>
        </w:rPr>
      </w:pPr>
      <w:r w:rsidDel="00000000" w:rsidR="00000000" w:rsidRPr="00000000">
        <w:rPr>
          <w:rFonts w:ascii="Times New Roman" w:cs="Times New Roman" w:eastAsia="Times New Roman" w:hAnsi="Times New Roman"/>
          <w:color w:val="385623"/>
          <w:sz w:val="18"/>
          <w:szCs w:val="18"/>
          <w:rtl w:val="0"/>
        </w:rPr>
        <w:t xml:space="preserve">GUIGNOT-MUFFET  Killian</w:t>
      </w:r>
    </w:p>
    <w:p w:rsidR="00000000" w:rsidDel="00000000" w:rsidP="00000000" w:rsidRDefault="00000000" w:rsidRPr="00000000" w14:paraId="0000005C">
      <w:pPr>
        <w:jc w:val="center"/>
        <w:rPr>
          <w:rFonts w:ascii="Times New Roman" w:cs="Times New Roman" w:eastAsia="Times New Roman" w:hAnsi="Times New Roman"/>
          <w:color w:val="385623"/>
          <w:sz w:val="18"/>
          <w:szCs w:val="18"/>
        </w:rPr>
      </w:pPr>
      <w:r w:rsidDel="00000000" w:rsidR="00000000" w:rsidRPr="00000000">
        <w:rPr>
          <w:rFonts w:ascii="Times New Roman" w:cs="Times New Roman" w:eastAsia="Times New Roman" w:hAnsi="Times New Roman"/>
          <w:color w:val="385623"/>
          <w:sz w:val="18"/>
          <w:szCs w:val="18"/>
          <w:rtl w:val="0"/>
        </w:rPr>
        <w:t xml:space="preserve">SONNTAG Sylvain</w:t>
      </w:r>
    </w:p>
    <w:p w:rsidR="00000000" w:rsidDel="00000000" w:rsidP="00000000" w:rsidRDefault="00000000" w:rsidRPr="00000000" w14:paraId="0000005D">
      <w:pPr>
        <w:jc w:val="center"/>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385623"/>
          <w:sz w:val="18"/>
          <w:szCs w:val="18"/>
          <w:rtl w:val="0"/>
        </w:rPr>
        <w:t xml:space="preserve">THEOLEYRE Juliette</w:t>
      </w:r>
      <w:r w:rsidDel="00000000" w:rsidR="00000000" w:rsidRPr="00000000">
        <w:rPr>
          <w:rtl w:val="0"/>
        </w:rPr>
      </w:r>
    </w:p>
    <w:sectPr>
      <w:headerReference r:id="rId13"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SEGAE-Serious Game Agroécologique                          Institut Agro-Agrocampus Ouest-Juin 2020</w:t>
    </w:r>
  </w:p>
  <w:p w:rsidR="00000000" w:rsidDel="00000000" w:rsidP="00000000" w:rsidRDefault="00000000" w:rsidRPr="00000000" w14:paraId="0000005F">
    <w:pPr>
      <w:jc w:val="right"/>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griculture.gouv.fr/2016-2020-une-strategie-globale-pour-le-bien-etre-des-animaux-en-france" TargetMode="External"/><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