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consignes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8"/>
          <w:szCs w:val="28"/>
          <w:rtl w:val="0"/>
        </w:rPr>
        <w:t xml:space="preserve">La lutte biologique par conservation</w:t>
      </w:r>
      <w:r w:rsidDel="00000000" w:rsidR="00000000" w:rsidRPr="00000000">
        <w:rPr>
          <w:rtl w:val="0"/>
        </w:rPr>
      </w:r>
    </w:p>
    <w:p w:rsidR="00000000" w:rsidDel="00000000" w:rsidP="00000000" w:rsidRDefault="00000000" w:rsidRPr="00000000" w14:paraId="00000003">
      <w:pPr>
        <w:keepLines w:val="1"/>
        <w:spacing w:after="0" w:before="0" w:line="276"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Introduction</w:t>
      </w:r>
    </w:p>
    <w:p w:rsidR="00000000" w:rsidDel="00000000" w:rsidP="00000000" w:rsidRDefault="00000000" w:rsidRPr="00000000" w14:paraId="00000004">
      <w:pPr>
        <w:keepLines w:val="1"/>
        <w:spacing w:after="0" w:before="0" w:line="276"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5">
      <w:pPr>
        <w:keepLines w:val="1"/>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L’Organisation Internationale de Lutte Biologique (OILB) définit ce concept comme “</w:t>
      </w:r>
      <w:r w:rsidDel="00000000" w:rsidR="00000000" w:rsidRPr="00000000">
        <w:rPr>
          <w:rFonts w:ascii="Times New Roman" w:cs="Times New Roman" w:eastAsia="Times New Roman" w:hAnsi="Times New Roman"/>
          <w:i w:val="1"/>
          <w:sz w:val="24"/>
          <w:szCs w:val="24"/>
          <w:rtl w:val="0"/>
        </w:rPr>
        <w:t xml:space="preserve">L’utilisation par l'Homme d'ennemis naturels tels que des prédateurs, des parasitoïdes ou des agents pathogènes pour contrôler des populations d'espèces nuisibles et les maintenir en dessous d'un seuil de nuisibilité</w:t>
      </w:r>
      <w:r w:rsidDel="00000000" w:rsidR="00000000" w:rsidRPr="00000000">
        <w:rPr>
          <w:rFonts w:ascii="Times New Roman" w:cs="Times New Roman" w:eastAsia="Times New Roman" w:hAnsi="Times New Roman"/>
          <w:sz w:val="24"/>
          <w:szCs w:val="24"/>
          <w:rtl w:val="0"/>
        </w:rPr>
        <w:t xml:space="preserve">”. Les stratégies d’intervention sont multiples et incluent notamment la lutte biologique </w:t>
      </w:r>
      <w:r w:rsidDel="00000000" w:rsidR="00000000" w:rsidRPr="00000000">
        <w:rPr>
          <w:rFonts w:ascii="Times New Roman" w:cs="Times New Roman" w:eastAsia="Times New Roman" w:hAnsi="Times New Roman"/>
          <w:b w:val="1"/>
          <w:sz w:val="24"/>
          <w:szCs w:val="24"/>
          <w:rtl w:val="0"/>
        </w:rPr>
        <w:t xml:space="preserve">par conservation </w:t>
      </w:r>
      <w:r w:rsidDel="00000000" w:rsidR="00000000" w:rsidRPr="00000000">
        <w:rPr>
          <w:rFonts w:ascii="Times New Roman" w:cs="Times New Roman" w:eastAsia="Times New Roman" w:hAnsi="Times New Roman"/>
          <w:sz w:val="24"/>
          <w:szCs w:val="24"/>
          <w:rtl w:val="0"/>
        </w:rPr>
        <w:t xml:space="preserve">(« natural control ») qui exploite rationnellement le potentiel des organismes auxiliaires indigènes en préservant et en valorisant leur rôle dans le maintien d'un équilibre (Ferron, 2005). La synergie entre une régulation descendante (« top down ») qui favorise les ennemis naturels et une régulation ascendante (« buttom up ») qui défavorise les ravageurs est primordiale.</w:t>
      </w:r>
    </w:p>
    <w:p w:rsidR="00000000" w:rsidDel="00000000" w:rsidP="00000000" w:rsidRDefault="00000000" w:rsidRPr="00000000" w14:paraId="00000006">
      <w:pPr>
        <w:spacing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régulation descendante</w:t>
      </w:r>
      <w:r w:rsidDel="00000000" w:rsidR="00000000" w:rsidRPr="00000000">
        <w:rPr>
          <w:rFonts w:ascii="Times New Roman" w:cs="Times New Roman" w:eastAsia="Times New Roman" w:hAnsi="Times New Roman"/>
          <w:sz w:val="24"/>
          <w:szCs w:val="24"/>
          <w:rtl w:val="0"/>
        </w:rPr>
        <w:t xml:space="preserve"> se matérialise par la mise en place d’infrastructures agroécologiques améliorant la survie, la fécondité et la longévité des auxiliaires de culture. Les​ infrastructures agroécologiques sont définies comme des ​milieux semi-naturels qui ne reçoivent ni engrais, ni pesticides (on retrouve entre autres les haies, les bandes fleuries et les bandes enherbées). </w:t>
      </w:r>
    </w:p>
    <w:p w:rsidR="00000000" w:rsidDel="00000000" w:rsidP="00000000" w:rsidRDefault="00000000" w:rsidRPr="00000000" w14:paraId="00000008">
      <w:pPr>
        <w:numPr>
          <w:ilvl w:val="0"/>
          <w:numId w:val="1"/>
        </w:numPr>
        <w:spacing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régulation ascendante</w:t>
      </w:r>
      <w:r w:rsidDel="00000000" w:rsidR="00000000" w:rsidRPr="00000000">
        <w:rPr>
          <w:rFonts w:ascii="Times New Roman" w:cs="Times New Roman" w:eastAsia="Times New Roman" w:hAnsi="Times New Roman"/>
          <w:sz w:val="24"/>
          <w:szCs w:val="24"/>
          <w:rtl w:val="0"/>
        </w:rPr>
        <w:t xml:space="preserve"> se matérialise par une modification des pratiques agricoles dans le but d’obtenir une plante plus résistante, plus difficile à localiser et plus difficile à coloniser.</w:t>
      </w:r>
    </w:p>
    <w:p w:rsidR="00000000" w:rsidDel="00000000" w:rsidP="00000000" w:rsidRDefault="00000000" w:rsidRPr="00000000" w14:paraId="00000009">
      <w:pPr>
        <w:spacing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rapport de 2004, (Boller et </w:t>
      </w:r>
      <w:r w:rsidDel="00000000" w:rsidR="00000000" w:rsidRPr="00000000">
        <w:rPr>
          <w:rFonts w:ascii="Times New Roman" w:cs="Times New Roman" w:eastAsia="Times New Roman" w:hAnsi="Times New Roman"/>
          <w:i w:val="1"/>
          <w:sz w:val="24"/>
          <w:szCs w:val="24"/>
          <w:rtl w:val="0"/>
        </w:rPr>
        <w:t xml:space="preserve">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précise que 90% des auxiliaires des cultures ne peuvent pas accomplir l’ensemble de leur cycle de vie sans ces habitats supplémentaires à l’extérieur de la culture (contre seulement 50 % des ravageurs).</w:t>
      </w:r>
    </w:p>
    <w:p w:rsidR="00000000" w:rsidDel="00000000" w:rsidP="00000000" w:rsidRDefault="00000000" w:rsidRPr="00000000" w14:paraId="0000000B">
      <w:pPr>
        <w:spacing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C">
      <w:pPr>
        <w:spacing w:after="0" w:before="24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A vous de jouer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êtes agriculteur et possédez une ferme en polyculture élevage (bovin). Vous souhaitez mettre en place la lutte biologique par conservation dans votre exploitation. Vous avez droit à cinq actions par an.</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 la lutte biologique</w:t>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114300</wp:posOffset>
            </wp:positionV>
            <wp:extent cx="219075" cy="247650"/>
            <wp:effectExtent b="0" l="0" r="0" t="0"/>
            <wp:wrapSquare wrapText="bothSides" distB="114300" distT="114300" distL="114300" distR="114300"/>
            <wp:docPr id="1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1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du jeu, vous devez mettre en place une régulation ascendante en effectuant 4 modifications. Vous devez également mettre en place les piliers de la régulation descendante que sont les infrastructures agroécologiques (“Green Infrastructures” en anglais). Le jeu vous propose au choix, quatres infrastructures différentes que je vous invite à tester afin d’élire la plus avantageuse en terme de Biorégulation. </w:t>
      </w:r>
    </w:p>
    <w:p w:rsidR="00000000" w:rsidDel="00000000" w:rsidP="00000000" w:rsidRDefault="00000000" w:rsidRPr="00000000" w14:paraId="00000014">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Pour aller plus loin</w:t>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171450</wp:posOffset>
            </wp:positionV>
            <wp:extent cx="219075" cy="24765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valorisation des auxiliaires de cultures par le biais de l’amélioration de leur fitness ne se résume pas aux infrastructures agroécologiques et de nombreuses autres pratiques sont possible. Je vous propose donc à présent d’essayer de maximiser l’indice </w:t>
      </w:r>
      <w:r w:rsidDel="00000000" w:rsidR="00000000" w:rsidRPr="00000000">
        <w:rPr>
          <w:rFonts w:ascii="Times New Roman" w:cs="Times New Roman" w:eastAsia="Times New Roman" w:hAnsi="Times New Roman"/>
          <w:b w:val="1"/>
          <w:i w:val="1"/>
          <w:sz w:val="24"/>
          <w:szCs w:val="24"/>
          <w:rtl w:val="0"/>
        </w:rPr>
        <w:t xml:space="preserve">natural enemies</w:t>
      </w:r>
      <w:r w:rsidDel="00000000" w:rsidR="00000000" w:rsidRPr="00000000">
        <w:rPr>
          <w:rFonts w:ascii="Times New Roman" w:cs="Times New Roman" w:eastAsia="Times New Roman" w:hAnsi="Times New Roman"/>
          <w:sz w:val="24"/>
          <w:szCs w:val="24"/>
          <w:rtl w:val="0"/>
        </w:rPr>
        <w:t xml:space="preserve"> en effectuant 8 modifications supplémentaires. </w:t>
      </w:r>
    </w:p>
    <w:p w:rsidR="00000000" w:rsidDel="00000000" w:rsidP="00000000" w:rsidRDefault="00000000" w:rsidRPr="00000000" w14:paraId="00000018">
      <w:pPr>
        <w:spacing w:after="0" w:lineRule="auto"/>
        <w:jc w:val="both"/>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b w:val="1"/>
          <w:i w:val="1"/>
          <w:sz w:val="24"/>
          <w:szCs w:val="24"/>
          <w:rtl w:val="0"/>
        </w:rPr>
        <w:t xml:space="preserve">Indication:</w:t>
      </w:r>
      <w:r w:rsidDel="00000000" w:rsidR="00000000" w:rsidRPr="00000000">
        <w:rPr>
          <w:rFonts w:ascii="Times New Roman" w:cs="Times New Roman" w:eastAsia="Times New Roman" w:hAnsi="Times New Roman"/>
          <w:sz w:val="24"/>
          <w:szCs w:val="24"/>
          <w:rtl w:val="0"/>
        </w:rPr>
        <w:t xml:space="preserve"> Vous pouvez alors atteindre la note de </w:t>
      </w:r>
      <w:r w:rsidDel="00000000" w:rsidR="00000000" w:rsidRPr="00000000">
        <w:rPr>
          <w:rFonts w:ascii="Times New Roman" w:cs="Times New Roman" w:eastAsia="Times New Roman" w:hAnsi="Times New Roman"/>
          <w:b w:val="1"/>
          <w:color w:val="38761d"/>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 pour cet indice.</w:t>
      </w:r>
      <w:r w:rsidDel="00000000" w:rsidR="00000000" w:rsidRPr="00000000">
        <w:rPr>
          <w:rtl w:val="0"/>
        </w:rPr>
      </w:r>
    </w:p>
    <w:p w:rsidR="00000000" w:rsidDel="00000000" w:rsidP="00000000" w:rsidRDefault="00000000" w:rsidRPr="00000000" w14:paraId="00000019">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vous avez réussi à mettre en place les modifications nécessaires à la pratique de la lutte biologique par conservation, vous allez vous rendre compte que votre durabilité économique reste constante.</w:t>
      </w:r>
    </w:p>
    <w:p w:rsidR="00000000" w:rsidDel="00000000" w:rsidP="00000000" w:rsidRDefault="00000000" w:rsidRPr="00000000" w14:paraId="0000001A">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371475</wp:posOffset>
            </wp:positionV>
            <wp:extent cx="219075" cy="24765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5600700</wp:posOffset>
            </wp:positionH>
            <wp:positionV relativeFrom="paragraph">
              <wp:posOffset>371475</wp:posOffset>
            </wp:positionV>
            <wp:extent cx="219075" cy="247650"/>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1B">
      <w:pPr>
        <w:spacing w:after="240" w:befor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Qu’envisageriez-vous à présent pour valoriser économiquement les nouvelles pratiques que vous avez mises en place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réponses</w:t>
      </w:r>
    </w:p>
    <w:p w:rsidR="00000000" w:rsidDel="00000000" w:rsidP="00000000" w:rsidRDefault="00000000" w:rsidRPr="00000000" w14:paraId="0000002F">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La lutte biologique par conservation</w:t>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381000</wp:posOffset>
            </wp:positionV>
            <wp:extent cx="219075" cy="247650"/>
            <wp:effectExtent b="0" l="0" r="0" t="0"/>
            <wp:wrapSquare wrapText="bothSides" distB="114300" distT="114300" distL="114300" distR="114300"/>
            <wp:docPr id="10"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 la lutte biologique par conservation</w:t>
      </w:r>
    </w:p>
    <w:p w:rsidR="00000000" w:rsidDel="00000000" w:rsidP="00000000" w:rsidRDefault="00000000" w:rsidRPr="00000000" w14:paraId="00000031">
      <w:pPr>
        <w:spacing w:after="0" w:before="240" w:line="276"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Régulation ascendante</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ce qui concerne l’utilisation des terres cultivées, les rotations culturales les plus diversifiées sont à privilégier. Dans le cadre du jeu, vous devez choisir les options 8 ou 9 (l’une pour le premier système (</w:t>
      </w:r>
      <w:r w:rsidDel="00000000" w:rsidR="00000000" w:rsidRPr="00000000">
        <w:rPr>
          <w:rFonts w:ascii="Times New Roman" w:cs="Times New Roman" w:eastAsia="Times New Roman" w:hAnsi="Times New Roman"/>
          <w:b w:val="1"/>
          <w:i w:val="1"/>
          <w:color w:val="274e13"/>
          <w:sz w:val="24"/>
          <w:szCs w:val="24"/>
          <w:rtl w:val="0"/>
        </w:rPr>
        <w:t xml:space="preserve">C.12.8</w:t>
      </w:r>
      <w:r w:rsidDel="00000000" w:rsidR="00000000" w:rsidRPr="00000000">
        <w:rPr>
          <w:rFonts w:ascii="Times New Roman" w:cs="Times New Roman" w:eastAsia="Times New Roman" w:hAnsi="Times New Roman"/>
          <w:sz w:val="24"/>
          <w:szCs w:val="24"/>
          <w:rtl w:val="0"/>
        </w:rPr>
        <w:t xml:space="preserve">) et l’autre pour le deuxième (</w:t>
      </w:r>
      <w:r w:rsidDel="00000000" w:rsidR="00000000" w:rsidRPr="00000000">
        <w:rPr>
          <w:rFonts w:ascii="Times New Roman" w:cs="Times New Roman" w:eastAsia="Times New Roman" w:hAnsi="Times New Roman"/>
          <w:b w:val="1"/>
          <w:i w:val="1"/>
          <w:color w:val="274e13"/>
          <w:sz w:val="24"/>
          <w:szCs w:val="24"/>
          <w:rtl w:val="0"/>
        </w:rPr>
        <w:t xml:space="preserve">C.13.9</w:t>
      </w:r>
      <w:r w:rsidDel="00000000" w:rsidR="00000000" w:rsidRPr="00000000">
        <w:rPr>
          <w:rFonts w:ascii="Times New Roman" w:cs="Times New Roman" w:eastAsia="Times New Roman" w:hAnsi="Times New Roman"/>
          <w:sz w:val="24"/>
          <w:szCs w:val="24"/>
          <w:rtl w:val="0"/>
        </w:rPr>
        <w:t xml:space="preserve">)) qui favorisent le plus la biodiversité en général et donc les ennemis naturels. Vous deviez également choisir l’association de culture (</w:t>
      </w:r>
      <w:r w:rsidDel="00000000" w:rsidR="00000000" w:rsidRPr="00000000">
        <w:rPr>
          <w:rFonts w:ascii="Times New Roman" w:cs="Times New Roman" w:eastAsia="Times New Roman" w:hAnsi="Times New Roman"/>
          <w:b w:val="1"/>
          <w:i w:val="1"/>
          <w:color w:val="274e13"/>
          <w:sz w:val="24"/>
          <w:szCs w:val="24"/>
          <w:rtl w:val="0"/>
        </w:rPr>
        <w:t xml:space="preserve">C.11.2</w:t>
      </w:r>
      <w:r w:rsidDel="00000000" w:rsidR="00000000" w:rsidRPr="00000000">
        <w:rPr>
          <w:rFonts w:ascii="Times New Roman" w:cs="Times New Roman" w:eastAsia="Times New Roman" w:hAnsi="Times New Roman"/>
          <w:sz w:val="24"/>
          <w:szCs w:val="24"/>
          <w:rtl w:val="0"/>
        </w:rPr>
        <w:t xml:space="preserve">) qui permet également d’augmenter la biodiversité générale.</w:t>
      </w:r>
    </w:p>
    <w:p w:rsidR="00000000" w:rsidDel="00000000" w:rsidP="00000000" w:rsidRDefault="00000000" w:rsidRPr="00000000" w14:paraId="0000003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deviez enfin, dans la gestion des cultures, choisir des variétés plus résistantes aux ravageurs et aux maladies (mais moins productives). (</w:t>
      </w:r>
      <w:r w:rsidDel="00000000" w:rsidR="00000000" w:rsidRPr="00000000">
        <w:rPr>
          <w:rFonts w:ascii="Times New Roman" w:cs="Times New Roman" w:eastAsia="Times New Roman" w:hAnsi="Times New Roman"/>
          <w:b w:val="1"/>
          <w:i w:val="1"/>
          <w:color w:val="274e13"/>
          <w:sz w:val="24"/>
          <w:szCs w:val="24"/>
          <w:rtl w:val="0"/>
        </w:rPr>
        <w:t xml:space="preserve">C.8.2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Régulation descendante</w:t>
      </w:r>
      <w:r w:rsidDel="00000000" w:rsidR="00000000" w:rsidRPr="00000000">
        <w:rPr>
          <w:rtl w:val="0"/>
        </w:rPr>
      </w:r>
    </w:p>
    <w:p w:rsidR="00000000" w:rsidDel="00000000" w:rsidP="00000000" w:rsidRDefault="00000000" w:rsidRPr="00000000" w14:paraId="0000003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jeu, vous les trouverez dans LANDSCAPE MANAGEMENT sous le nom de </w:t>
      </w:r>
      <w:r w:rsidDel="00000000" w:rsidR="00000000" w:rsidRPr="00000000">
        <w:rPr>
          <w:rFonts w:ascii="Times New Roman" w:cs="Times New Roman" w:eastAsia="Times New Roman" w:hAnsi="Times New Roman"/>
          <w:i w:val="1"/>
          <w:color w:val="274e13"/>
          <w:sz w:val="24"/>
          <w:szCs w:val="24"/>
          <w:rtl w:val="0"/>
        </w:rPr>
        <w:t xml:space="preserve">Green infrastructures.</w:t>
      </w:r>
      <w:r w:rsidDel="00000000" w:rsidR="00000000" w:rsidRPr="00000000">
        <w:rPr>
          <w:rFonts w:ascii="Times New Roman" w:cs="Times New Roman" w:eastAsia="Times New Roman" w:hAnsi="Times New Roman"/>
          <w:sz w:val="24"/>
          <w:szCs w:val="24"/>
          <w:rtl w:val="0"/>
        </w:rPr>
        <w:t xml:space="preserve"> Vous deviez en élire une parmi les quatres proposées (bandes fleuries, bandes enherbées, haies semi-naturelles ou bordures de champs sem-naturelles). Cependant, elles ont toutes la même influence sur l’indice “natural ennemies” dans le jeu.</w:t>
      </w:r>
    </w:p>
    <w:p w:rsidR="00000000" w:rsidDel="00000000" w:rsidP="00000000" w:rsidRDefault="00000000" w:rsidRPr="00000000" w14:paraId="00000036">
      <w:pPr>
        <w:spacing w:after="0" w:before="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En réalité, la diversité et la qualité de ces infrastructures à l’instar de leur aménagement spatio-temporel sont essentiels ​(Ferron P, 2000). En effet, chacune favorise certains auxiliaires lors d’un ou plusieurs stades de leur développement et il est donc nécessaire de les associer pour mettre en place une lutte biologique efficace. </w:t>
      </w: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Les</w:t>
      </w:r>
      <w:r w:rsidDel="00000000" w:rsidR="00000000" w:rsidRPr="00000000">
        <w:rPr>
          <w:rFonts w:ascii="Times New Roman" w:cs="Times New Roman" w:eastAsia="Times New Roman" w:hAnsi="Times New Roman"/>
          <w:b w:val="1"/>
          <w:sz w:val="24"/>
          <w:szCs w:val="24"/>
          <w:rtl w:val="0"/>
        </w:rPr>
        <w:t xml:space="preserve"> haies</w:t>
      </w:r>
      <w:r w:rsidDel="00000000" w:rsidR="00000000" w:rsidRPr="00000000">
        <w:rPr>
          <w:rFonts w:ascii="Times New Roman" w:cs="Times New Roman" w:eastAsia="Times New Roman" w:hAnsi="Times New Roman"/>
          <w:sz w:val="24"/>
          <w:szCs w:val="24"/>
          <w:rtl w:val="0"/>
        </w:rPr>
        <w:t xml:space="preserve"> constituent un refuge hivernale pour de nombreuses espèces entomophages mais également une source de nectar et de pollen. Elles doivent être reliées entre elles et former ainsi un réseau, un maillage à l’échelle du paysage afin de créer </w:t>
      </w:r>
      <w:r w:rsidDel="00000000" w:rsidR="00000000" w:rsidRPr="00000000">
        <w:rPr>
          <w:rFonts w:ascii="Times New Roman" w:cs="Times New Roman" w:eastAsia="Times New Roman" w:hAnsi="Times New Roman"/>
          <w:sz w:val="24"/>
          <w:szCs w:val="24"/>
          <w:rtl w:val="0"/>
        </w:rPr>
        <w:t xml:space="preserve">des réservoirs de biodiversité et des corridors de circulation </w:t>
      </w:r>
      <w:r w:rsidDel="00000000" w:rsidR="00000000" w:rsidRPr="00000000">
        <w:rPr>
          <w:rFonts w:ascii="Times New Roman" w:cs="Times New Roman" w:eastAsia="Times New Roman" w:hAnsi="Times New Roman"/>
          <w:i w:val="1"/>
          <w:sz w:val="24"/>
          <w:szCs w:val="24"/>
          <w:rtl w:val="0"/>
        </w:rPr>
        <w:t xml:space="preserve">(Ferron P, 2000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Les </w:t>
      </w:r>
      <w:r w:rsidDel="00000000" w:rsidR="00000000" w:rsidRPr="00000000">
        <w:rPr>
          <w:rFonts w:ascii="Times New Roman" w:cs="Times New Roman" w:eastAsia="Times New Roman" w:hAnsi="Times New Roman"/>
          <w:b w:val="1"/>
          <w:sz w:val="24"/>
          <w:szCs w:val="24"/>
          <w:rtl w:val="0"/>
        </w:rPr>
        <w:t xml:space="preserve">bandes fleuries</w:t>
      </w:r>
      <w:r w:rsidDel="00000000" w:rsidR="00000000" w:rsidRPr="00000000">
        <w:rPr>
          <w:rFonts w:ascii="Times New Roman" w:cs="Times New Roman" w:eastAsia="Times New Roman" w:hAnsi="Times New Roman"/>
          <w:sz w:val="24"/>
          <w:szCs w:val="24"/>
          <w:rtl w:val="0"/>
        </w:rPr>
        <w:t xml:space="preserve"> permettent de connecter deux infrastructures existantes entre elles et d’enrichir le milieu en ressources alimentaires pour les larves et adultes entomophages.  Les </w:t>
      </w:r>
      <w:r w:rsidDel="00000000" w:rsidR="00000000" w:rsidRPr="00000000">
        <w:rPr>
          <w:rFonts w:ascii="Times New Roman" w:cs="Times New Roman" w:eastAsia="Times New Roman" w:hAnsi="Times New Roman"/>
          <w:b w:val="1"/>
          <w:sz w:val="24"/>
          <w:szCs w:val="24"/>
          <w:rtl w:val="0"/>
        </w:rPr>
        <w:t xml:space="preserve">bandes enherbées</w:t>
      </w:r>
      <w:r w:rsidDel="00000000" w:rsidR="00000000" w:rsidRPr="00000000">
        <w:rPr>
          <w:rFonts w:ascii="Times New Roman" w:cs="Times New Roman" w:eastAsia="Times New Roman" w:hAnsi="Times New Roman"/>
          <w:sz w:val="24"/>
          <w:szCs w:val="24"/>
          <w:rtl w:val="0"/>
        </w:rPr>
        <w:t xml:space="preserve"> en bord de parcelle font office de refuge pour les carabes, araignées et staphylins principalement. Au milieu des parcelles, elles sont qualifiées de “</w:t>
      </w:r>
      <w:r w:rsidDel="00000000" w:rsidR="00000000" w:rsidRPr="00000000">
        <w:rPr>
          <w:rFonts w:ascii="Times New Roman" w:cs="Times New Roman" w:eastAsia="Times New Roman" w:hAnsi="Times New Roman"/>
          <w:b w:val="1"/>
          <w:sz w:val="24"/>
          <w:szCs w:val="24"/>
          <w:rtl w:val="0"/>
        </w:rPr>
        <w:t xml:space="preserve">Beetle Bank</w:t>
      </w:r>
      <w:r w:rsidDel="00000000" w:rsidR="00000000" w:rsidRPr="00000000">
        <w:rPr>
          <w:rFonts w:ascii="Times New Roman" w:cs="Times New Roman" w:eastAsia="Times New Roman" w:hAnsi="Times New Roman"/>
          <w:sz w:val="24"/>
          <w:szCs w:val="24"/>
          <w:rtl w:val="0"/>
        </w:rPr>
        <w:t xml:space="preserve">”et permettent aux auxiliaires d’hiverner au milieu de la parcelle; les carabes, notamment, qui ne se déplacent que sur une longueur de 250 m </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T. Tscharntke et al. 2016). </w:t>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choix des espèces végétales est immense et doit être minutieusement adapté à chaque situation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 exemple, dans un verger de poiriers l'accent est mis sur la protection contre le Psylle </w:t>
      </w:r>
      <w:r w:rsidDel="00000000" w:rsidR="00000000" w:rsidRPr="00000000">
        <w:rPr>
          <w:rFonts w:ascii="Times New Roman" w:cs="Times New Roman" w:eastAsia="Times New Roman" w:hAnsi="Times New Roman"/>
          <w:i w:val="1"/>
          <w:sz w:val="24"/>
          <w:szCs w:val="24"/>
          <w:rtl w:val="0"/>
        </w:rPr>
        <w:t xml:space="preserve">Cacopsylla pyri</w:t>
      </w:r>
      <w:r w:rsidDel="00000000" w:rsidR="00000000" w:rsidRPr="00000000">
        <w:rPr>
          <w:rFonts w:ascii="Times New Roman" w:cs="Times New Roman" w:eastAsia="Times New Roman" w:hAnsi="Times New Roman"/>
          <w:sz w:val="24"/>
          <w:szCs w:val="24"/>
          <w:rtl w:val="0"/>
        </w:rPr>
        <w:t xml:space="preserve">, il est recommandé d'ajouter le frêne, </w:t>
      </w:r>
      <w:r w:rsidDel="00000000" w:rsidR="00000000" w:rsidRPr="00000000">
        <w:rPr>
          <w:rFonts w:ascii="Times New Roman" w:cs="Times New Roman" w:eastAsia="Times New Roman" w:hAnsi="Times New Roman"/>
          <w:i w:val="1"/>
          <w:sz w:val="24"/>
          <w:szCs w:val="24"/>
          <w:rtl w:val="0"/>
        </w:rPr>
        <w:t xml:space="preserve">Fraxinus oxyphylla</w:t>
      </w:r>
      <w:r w:rsidDel="00000000" w:rsidR="00000000" w:rsidRPr="00000000">
        <w:rPr>
          <w:rFonts w:ascii="Times New Roman" w:cs="Times New Roman" w:eastAsia="Times New Roman" w:hAnsi="Times New Roman"/>
          <w:sz w:val="24"/>
          <w:szCs w:val="24"/>
          <w:rtl w:val="0"/>
        </w:rPr>
        <w:t xml:space="preserve">, à la composition type de la haie composite pour les vergers de la vallée du Rhône, en raison du fait que celui-ci abrite un autre Psylle, </w:t>
      </w:r>
      <w:r w:rsidDel="00000000" w:rsidR="00000000" w:rsidRPr="00000000">
        <w:rPr>
          <w:rFonts w:ascii="Times New Roman" w:cs="Times New Roman" w:eastAsia="Times New Roman" w:hAnsi="Times New Roman"/>
          <w:i w:val="1"/>
          <w:sz w:val="24"/>
          <w:szCs w:val="24"/>
          <w:rtl w:val="0"/>
        </w:rPr>
        <w:t xml:space="preserve">Psyllopsis fraxini</w:t>
      </w:r>
      <w:r w:rsidDel="00000000" w:rsidR="00000000" w:rsidRPr="00000000">
        <w:rPr>
          <w:rFonts w:ascii="Times New Roman" w:cs="Times New Roman" w:eastAsia="Times New Roman" w:hAnsi="Times New Roman"/>
          <w:sz w:val="24"/>
          <w:szCs w:val="24"/>
          <w:rtl w:val="0"/>
        </w:rPr>
        <w:t xml:space="preserve">, inoffensif pour le poirier, mais assurant la multiplication précoce d'un cortège d'auxiliaires spécialisés </w:t>
      </w:r>
      <w:r w:rsidDel="00000000" w:rsidR="00000000" w:rsidRPr="00000000">
        <w:rPr>
          <w:rFonts w:ascii="Times New Roman" w:cs="Times New Roman" w:eastAsia="Times New Roman" w:hAnsi="Times New Roman"/>
          <w:i w:val="1"/>
          <w:sz w:val="24"/>
          <w:szCs w:val="24"/>
          <w:rtl w:val="0"/>
        </w:rPr>
        <w:t xml:space="preserve">(E.J.P Marshall et A.C. Moonen, 2002).</w:t>
      </w:r>
      <w:r w:rsidDel="00000000" w:rsidR="00000000" w:rsidRPr="00000000">
        <w:rPr>
          <w:rtl w:val="0"/>
        </w:rPr>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Pour aller plus loin</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114300</wp:posOffset>
            </wp:positionV>
            <wp:extent cx="219075" cy="247650"/>
            <wp:effectExtent b="0" l="0" r="0" t="0"/>
            <wp:wrapSquare wrapText="bothSides" distB="114300" distT="114300" distL="114300" distR="114300"/>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3A">
      <w:pPr>
        <w:spacing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Maximiser l’indice “natural ennemies”:</w:t>
      </w:r>
    </w:p>
    <w:p w:rsidR="00000000" w:rsidDel="00000000" w:rsidP="00000000" w:rsidRDefault="00000000" w:rsidRPr="00000000" w14:paraId="0000003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en place de l’</w:t>
      </w:r>
      <w:r w:rsidDel="00000000" w:rsidR="00000000" w:rsidRPr="00000000">
        <w:rPr>
          <w:rFonts w:ascii="Times New Roman" w:cs="Times New Roman" w:eastAsia="Times New Roman" w:hAnsi="Times New Roman"/>
          <w:i w:val="1"/>
          <w:color w:val="274e13"/>
          <w:sz w:val="24"/>
          <w:szCs w:val="24"/>
          <w:rtl w:val="0"/>
        </w:rPr>
        <w:t xml:space="preserve">agroforestery</w:t>
      </w:r>
      <w:r w:rsidDel="00000000" w:rsidR="00000000" w:rsidRPr="00000000">
        <w:rPr>
          <w:rFonts w:ascii="Times New Roman" w:cs="Times New Roman" w:eastAsia="Times New Roman" w:hAnsi="Times New Roman"/>
          <w:sz w:val="24"/>
          <w:szCs w:val="24"/>
          <w:rtl w:val="0"/>
        </w:rPr>
        <w:t xml:space="preserve"> qui crée des îlots refuges pour de nombreux auxiliaires à l’intérieur de la parcelle. (</w:t>
      </w:r>
      <w:r w:rsidDel="00000000" w:rsidR="00000000" w:rsidRPr="00000000">
        <w:rPr>
          <w:rFonts w:ascii="Times New Roman" w:cs="Times New Roman" w:eastAsia="Times New Roman" w:hAnsi="Times New Roman"/>
          <w:b w:val="1"/>
          <w:i w:val="1"/>
          <w:color w:val="274e13"/>
          <w:sz w:val="24"/>
          <w:szCs w:val="24"/>
          <w:rtl w:val="0"/>
        </w:rPr>
        <w:t xml:space="preserve">C.15.2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-376237</wp:posOffset>
            </wp:positionH>
            <wp:positionV relativeFrom="paragraph">
              <wp:posOffset>142875</wp:posOffset>
            </wp:positionV>
            <wp:extent cx="266700" cy="271463"/>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66700" cy="271463"/>
                    </a:xfrm>
                    <a:prstGeom prst="rect"/>
                    <a:ln/>
                  </pic:spPr>
                </pic:pic>
              </a:graphicData>
            </a:graphic>
          </wp:anchor>
        </w:drawing>
      </w:r>
    </w:p>
    <w:p w:rsidR="00000000" w:rsidDel="00000000" w:rsidP="00000000" w:rsidRDefault="00000000" w:rsidRPr="00000000" w14:paraId="0000003C">
      <w:pPr>
        <w:spacing w:befor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342900</wp:posOffset>
            </wp:positionV>
            <wp:extent cx="285750" cy="271463"/>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5750" cy="271463"/>
                    </a:xfrm>
                    <a:prstGeom prst="rect"/>
                    <a:ln/>
                  </pic:spPr>
                </pic:pic>
              </a:graphicData>
            </a:graphic>
          </wp:anchor>
        </w:drawing>
      </w:r>
    </w:p>
    <w:p w:rsidR="00000000" w:rsidDel="00000000" w:rsidP="00000000" w:rsidRDefault="00000000" w:rsidRPr="00000000" w14:paraId="0000003D">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la gestion des sols, vous deviez: </w:t>
      </w:r>
    </w:p>
    <w:p w:rsidR="00000000" w:rsidDel="00000000" w:rsidP="00000000" w:rsidRDefault="00000000" w:rsidRPr="00000000" w14:paraId="0000003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arrêter le labour (</w:t>
      </w:r>
      <w:r w:rsidDel="00000000" w:rsidR="00000000" w:rsidRPr="00000000">
        <w:rPr>
          <w:rFonts w:ascii="Times New Roman" w:cs="Times New Roman" w:eastAsia="Times New Roman" w:hAnsi="Times New Roman"/>
          <w:b w:val="1"/>
          <w:i w:val="1"/>
          <w:color w:val="274e13"/>
          <w:sz w:val="24"/>
          <w:szCs w:val="24"/>
          <w:rtl w:val="0"/>
        </w:rPr>
        <w:t xml:space="preserve">C.1.3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conserver un  couvert permanent des cultures (</w:t>
      </w:r>
      <w:r w:rsidDel="00000000" w:rsidR="00000000" w:rsidRPr="00000000">
        <w:rPr>
          <w:rFonts w:ascii="Times New Roman" w:cs="Times New Roman" w:eastAsia="Times New Roman" w:hAnsi="Times New Roman"/>
          <w:b w:val="1"/>
          <w:i w:val="1"/>
          <w:color w:val="274e13"/>
          <w:sz w:val="24"/>
          <w:szCs w:val="24"/>
          <w:rtl w:val="0"/>
        </w:rPr>
        <w:t xml:space="preserve">C.2.3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laisser les résidus de cultures dans le champ (</w:t>
      </w:r>
      <w:r w:rsidDel="00000000" w:rsidR="00000000" w:rsidRPr="00000000">
        <w:rPr>
          <w:rFonts w:ascii="Times New Roman" w:cs="Times New Roman" w:eastAsia="Times New Roman" w:hAnsi="Times New Roman"/>
          <w:b w:val="1"/>
          <w:i w:val="1"/>
          <w:color w:val="274e13"/>
          <w:sz w:val="24"/>
          <w:szCs w:val="24"/>
          <w:rtl w:val="0"/>
        </w:rPr>
        <w:t xml:space="preserve">C.3.2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Ceci vous rapproche d’ailleur de l’agriculture de conservation des sols, il suffit d’augmenter les rotations (voir fiche conservation des sols). Ce n’est pas une coïncidence car l’agriculture de conservation permet de favoriser la vie biologique du sol et donc la vie des auxiliaires.</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-366712</wp:posOffset>
            </wp:positionH>
            <wp:positionV relativeFrom="paragraph">
              <wp:posOffset>209550</wp:posOffset>
            </wp:positionV>
            <wp:extent cx="257175" cy="266700"/>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7175" cy="266700"/>
                    </a:xfrm>
                    <a:prstGeom prst="rect"/>
                    <a:ln/>
                  </pic:spPr>
                </pic:pic>
              </a:graphicData>
            </a:graphic>
          </wp:anchor>
        </w:drawing>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Concernant la gestion des cultures, il est nécessaire de ne plus utiliser de produits phytosanitaires (herbicides, fongicides, pesticides, …) qui tuent directement ou indirectement les auxiliaires de cultures. Pour cela, vous deviez choisir (</w:t>
      </w:r>
      <w:r w:rsidDel="00000000" w:rsidR="00000000" w:rsidRPr="00000000">
        <w:rPr>
          <w:rFonts w:ascii="Times New Roman" w:cs="Times New Roman" w:eastAsia="Times New Roman" w:hAnsi="Times New Roman"/>
          <w:b w:val="1"/>
          <w:i w:val="1"/>
          <w:color w:val="274e13"/>
          <w:sz w:val="24"/>
          <w:szCs w:val="24"/>
          <w:rtl w:val="0"/>
        </w:rPr>
        <w:t xml:space="preserve">C.5.4</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i w:val="1"/>
          <w:color w:val="274e13"/>
          <w:sz w:val="24"/>
          <w:szCs w:val="24"/>
          <w:rtl w:val="0"/>
        </w:rPr>
        <w:t xml:space="preserve">C.6.3</w:t>
      </w:r>
      <w:r w:rsidDel="00000000" w:rsidR="00000000" w:rsidRPr="00000000">
        <w:rPr>
          <w:rFonts w:ascii="Times New Roman" w:cs="Times New Roman" w:eastAsia="Times New Roman" w:hAnsi="Times New Roman"/>
          <w:sz w:val="24"/>
          <w:szCs w:val="24"/>
          <w:rtl w:val="0"/>
        </w:rPr>
        <w:t xml:space="preserve">) et (</w:t>
      </w:r>
      <w:r w:rsidDel="00000000" w:rsidR="00000000" w:rsidRPr="00000000">
        <w:rPr>
          <w:rFonts w:ascii="Times New Roman" w:cs="Times New Roman" w:eastAsia="Times New Roman" w:hAnsi="Times New Roman"/>
          <w:b w:val="1"/>
          <w:i w:val="1"/>
          <w:color w:val="274e13"/>
          <w:sz w:val="24"/>
          <w:szCs w:val="24"/>
          <w:rtl w:val="0"/>
        </w:rPr>
        <w:t xml:space="preserve">C.7.4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-376237</wp:posOffset>
            </wp:positionH>
            <wp:positionV relativeFrom="paragraph">
              <wp:posOffset>200025</wp:posOffset>
            </wp:positionV>
            <wp:extent cx="285750" cy="277091"/>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0"/>
                    <a:srcRect b="4880" l="0" r="0" t="6800"/>
                    <a:stretch>
                      <a:fillRect/>
                    </a:stretch>
                  </pic:blipFill>
                  <pic:spPr>
                    <a:xfrm>
                      <a:off x="0" y="0"/>
                      <a:ext cx="285750" cy="277091"/>
                    </a:xfrm>
                    <a:prstGeom prst="rect"/>
                    <a:ln/>
                  </pic:spPr>
                </pic:pic>
              </a:graphicData>
            </a:graphic>
          </wp:anchor>
        </w:drawing>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terres non cultivées constituent des habitats préférentiels pour de nombreux auxiliaires de cultures ; c’est pourquoi il faut maximiser la surface des prairies permanentes (</w:t>
      </w:r>
      <w:r w:rsidDel="00000000" w:rsidR="00000000" w:rsidRPr="00000000">
        <w:rPr>
          <w:rFonts w:ascii="Times New Roman" w:cs="Times New Roman" w:eastAsia="Times New Roman" w:hAnsi="Times New Roman"/>
          <w:b w:val="1"/>
          <w:i w:val="1"/>
          <w:color w:val="274e13"/>
          <w:sz w:val="24"/>
          <w:szCs w:val="24"/>
          <w:rtl w:val="0"/>
        </w:rPr>
        <w:t xml:space="preserve">C.10.3</w:t>
      </w:r>
      <w:r w:rsidDel="00000000" w:rsidR="00000000" w:rsidRPr="00000000">
        <w:rPr>
          <w:rFonts w:ascii="Times New Roman" w:cs="Times New Roman" w:eastAsia="Times New Roman" w:hAnsi="Times New Roman"/>
          <w:sz w:val="24"/>
          <w:szCs w:val="24"/>
          <w:rtl w:val="0"/>
        </w:rPr>
        <w:t xml:space="preserve">) et diversifier la composition des prairies temporaire (</w:t>
      </w:r>
      <w:r w:rsidDel="00000000" w:rsidR="00000000" w:rsidRPr="00000000">
        <w:rPr>
          <w:rFonts w:ascii="Times New Roman" w:cs="Times New Roman" w:eastAsia="Times New Roman" w:hAnsi="Times New Roman"/>
          <w:b w:val="1"/>
          <w:i w:val="1"/>
          <w:color w:val="274e13"/>
          <w:sz w:val="24"/>
          <w:szCs w:val="24"/>
          <w:rtl w:val="0"/>
        </w:rPr>
        <w:t xml:space="preserve">C.9.3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Afin de valoriser économiquement la pratique de la lutte biologique par conservation, il peut être intéressant d’obtenir une labellisation en agriculture biologique. Si cela vous intéresse, vous pouvez consulter le scénario “agriculture biologique”</w:t>
      </w:r>
      <w:r w:rsidDel="00000000" w:rsidR="00000000" w:rsidRPr="00000000">
        <w:rPr>
          <w:rtl w:val="0"/>
        </w:rPr>
      </w:r>
    </w:p>
    <w:p w:rsidR="00000000" w:rsidDel="00000000" w:rsidP="00000000" w:rsidRDefault="00000000" w:rsidRPr="00000000" w14:paraId="00000048">
      <w:pPr>
        <w:pStyle w:val="Heading1"/>
        <w:spacing w:after="240" w:before="240" w:lineRule="auto"/>
        <w:jc w:val="center"/>
        <w:rPr/>
      </w:pPr>
      <w:bookmarkStart w:colFirst="0" w:colLast="0" w:name="_xbqqnrk4tjru" w:id="0"/>
      <w:bookmarkEnd w:id="0"/>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19075" cy="247650"/>
                    </a:xfrm>
                    <a:prstGeom prst="rect"/>
                    <a:ln/>
                  </pic:spPr>
                </pic:pic>
              </a:graphicData>
            </a:graphic>
          </wp:inline>
        </w:drawing>
      </w:r>
      <w:r w:rsidDel="00000000" w:rsidR="00000000" w:rsidRPr="00000000">
        <w:rPr>
          <w:rFonts w:ascii="Times New Roman" w:cs="Times New Roman" w:eastAsia="Times New Roman" w:hAnsi="Times New Roman"/>
          <w:b w:val="1"/>
          <w:color w:val="385623"/>
          <w:sz w:val="28"/>
          <w:szCs w:val="28"/>
          <w:rtl w:val="0"/>
        </w:rPr>
        <w:t xml:space="preserve">Bibliographie </w:t>
      </w: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19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Boller E F, Häni F &amp; Poehling H M</w:t>
      </w:r>
      <w:r w:rsidDel="00000000" w:rsidR="00000000" w:rsidRPr="00000000">
        <w:rPr>
          <w:rFonts w:ascii="Times New Roman" w:cs="Times New Roman" w:eastAsia="Times New Roman" w:hAnsi="Times New Roman"/>
          <w:sz w:val="24"/>
          <w:szCs w:val="24"/>
          <w:rtl w:val="0"/>
        </w:rPr>
        <w:t xml:space="preserve">, 2004. Ecological Infrastructures: Ideabook on Functional Biodiversity at the Farm Level. IOBC-OILB. 212pp.</w:t>
      </w:r>
    </w:p>
    <w:p w:rsidR="00000000" w:rsidDel="00000000" w:rsidP="00000000" w:rsidRDefault="00000000" w:rsidRPr="00000000" w14:paraId="0000004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Ferron P</w:t>
      </w:r>
      <w:r w:rsidDel="00000000" w:rsidR="00000000" w:rsidRPr="00000000">
        <w:rPr>
          <w:rFonts w:ascii="Times New Roman" w:cs="Times New Roman" w:eastAsia="Times New Roman" w:hAnsi="Times New Roman"/>
          <w:sz w:val="24"/>
          <w:szCs w:val="24"/>
          <w:rtl w:val="0"/>
        </w:rPr>
        <w:t xml:space="preserve">, 2000 - bases écologiques de la protection des cultures, gestion des populations et aménagement de leurs habitats, 9p</w:t>
      </w:r>
    </w:p>
    <w:p w:rsidR="00000000" w:rsidDel="00000000" w:rsidP="00000000" w:rsidRDefault="00000000" w:rsidRPr="00000000" w14:paraId="0000004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Ferron P</w:t>
      </w:r>
      <w:r w:rsidDel="00000000" w:rsidR="00000000" w:rsidRPr="00000000">
        <w:rPr>
          <w:rFonts w:ascii="Times New Roman" w:cs="Times New Roman" w:eastAsia="Times New Roman" w:hAnsi="Times New Roman"/>
          <w:sz w:val="24"/>
          <w:szCs w:val="24"/>
          <w:rtl w:val="0"/>
        </w:rPr>
        <w:t xml:space="preserve">, 2005 - lutte biologique: définition, concept et stratégies, 15-21</w:t>
      </w:r>
    </w:p>
    <w:p w:rsidR="00000000" w:rsidDel="00000000" w:rsidP="00000000" w:rsidRDefault="00000000" w:rsidRPr="00000000" w14:paraId="0000004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Teja Tscharntke et al. </w:t>
      </w:r>
      <w:r w:rsidDel="00000000" w:rsidR="00000000" w:rsidRPr="00000000">
        <w:rPr>
          <w:rFonts w:ascii="Times New Roman" w:cs="Times New Roman" w:eastAsia="Times New Roman" w:hAnsi="Times New Roman"/>
          <w:sz w:val="24"/>
          <w:szCs w:val="24"/>
          <w:rtl w:val="0"/>
        </w:rPr>
        <w:t xml:space="preserve">, 2016 - When natural habitat fails to enhance biological pest control – Five hypotheses</w:t>
      </w:r>
    </w:p>
    <w:p w:rsidR="00000000" w:rsidDel="00000000" w:rsidP="00000000" w:rsidRDefault="00000000" w:rsidRPr="00000000" w14:paraId="0000004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Marshall E.J.P and Moonen A.C</w:t>
      </w:r>
      <w:r w:rsidDel="00000000" w:rsidR="00000000" w:rsidRPr="00000000">
        <w:rPr>
          <w:rFonts w:ascii="Times New Roman" w:cs="Times New Roman" w:eastAsia="Times New Roman" w:hAnsi="Times New Roman"/>
          <w:sz w:val="24"/>
          <w:szCs w:val="24"/>
          <w:rtl w:val="0"/>
        </w:rPr>
        <w:t xml:space="preserve">, 2002 - Field margins in northern Europe: their functions and interactions with agriculture, 17p</w:t>
      </w:r>
    </w:p>
    <w:p w:rsidR="00000000" w:rsidDel="00000000" w:rsidP="00000000" w:rsidRDefault="00000000" w:rsidRPr="00000000" w14:paraId="0000004E">
      <w:pPr>
        <w:spacing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b w:val="1"/>
          <w:color w:val="385623"/>
          <w:sz w:val="28"/>
          <w:szCs w:val="28"/>
          <w:rtl w:val="0"/>
        </w:rPr>
        <w:t xml:space="preserve">  Auteurs </w:t>
      </w:r>
      <w:r w:rsidDel="00000000" w:rsidR="00000000" w:rsidRPr="00000000">
        <w:rPr>
          <w:rFonts w:ascii="Times New Roman" w:cs="Times New Roman" w:eastAsia="Times New Roman" w:hAnsi="Times New Roman"/>
          <w:color w:val="385623"/>
          <w:rtl w:val="0"/>
        </w:rPr>
        <w:t xml:space="preserve">GUIGOU Julien,</w:t>
      </w:r>
      <w:r w:rsidDel="00000000" w:rsidR="00000000" w:rsidRPr="00000000">
        <w:rPr>
          <w:rFonts w:ascii="Times New Roman" w:cs="Times New Roman" w:eastAsia="Times New Roman" w:hAnsi="Times New Roman"/>
          <w:b w:val="1"/>
          <w:color w:val="385623"/>
          <w:sz w:val="28"/>
          <w:szCs w:val="28"/>
          <w:rtl w:val="0"/>
        </w:rPr>
        <w:t xml:space="preserve"> </w:t>
      </w:r>
      <w:r w:rsidDel="00000000" w:rsidR="00000000" w:rsidRPr="00000000">
        <w:rPr>
          <w:rFonts w:ascii="Times New Roman" w:cs="Times New Roman" w:eastAsia="Times New Roman" w:hAnsi="Times New Roman"/>
          <w:color w:val="385623"/>
          <w:rtl w:val="0"/>
        </w:rPr>
        <w:t xml:space="preserve">OGEL Nathan, NUFFER Pierre,</w:t>
      </w:r>
      <w:r w:rsidDel="00000000" w:rsidR="00000000" w:rsidRPr="00000000">
        <w:rPr>
          <w:rFonts w:ascii="Times New Roman" w:cs="Times New Roman" w:eastAsia="Times New Roman" w:hAnsi="Times New Roman"/>
          <w:color w:val="385623"/>
          <w:sz w:val="18"/>
          <w:szCs w:val="18"/>
          <w:rtl w:val="0"/>
        </w:rPr>
        <w:t xml:space="preserve"> avec la participation de SCHOTT Roxane, PAGLIARO Rosalba, GUIGNOT-MUFFET  Killian, SONNTAG Sylvain, THEOLEYRE Juliette</w:t>
      </w:r>
    </w:p>
    <w:sectPr>
      <w:headerReference r:id="rId12" w:type="default"/>
      <w:foot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SEGAE-Serious Game Agroécologique                          Institut Agro-Agrocampus Ouest-Juin 2020</w:t>
    </w:r>
  </w:p>
  <w:p w:rsidR="00000000" w:rsidDel="00000000" w:rsidP="00000000" w:rsidRDefault="00000000" w:rsidRPr="00000000" w14:paraId="00000051">
    <w:pPr>
      <w:jc w:val="center"/>
      <w:rPr>
        <w:color w:val="666666"/>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