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16"/>
          <w:tab w:val="center" w:pos="4514"/>
          <w:tab w:val="left" w:pos="7332"/>
        </w:tabs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Fiche réponses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pos="1812"/>
          <w:tab w:val="center" w:pos="4514"/>
        </w:tabs>
        <w:spacing w:after="240"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  <w:tab/>
        <w:t xml:space="preserve">Efficience Énergétique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371475</wp:posOffset>
            </wp:positionV>
            <wp:extent cx="209550" cy="247650"/>
            <wp:effectExtent b="0" l="0" r="0" t="0"/>
            <wp:wrapSquare wrapText="bothSides" distB="114300" distT="114300" distL="114300" distR="114300"/>
            <wp:docPr id="1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I. Les bases des pratiques pour une meilleure efficience énergétique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Dans un premier temps, il s’agit de se focaliser sur les actions principales qui sont 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L’élimination du travail du sol : l’intérêt ici est d’améliorer l’autonomie de la ferme et de réduire les dépenses énergétiques en terme de carburant, liées à l’usage des tracteurs.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47625</wp:posOffset>
            </wp:positionV>
            <wp:extent cx="282341" cy="251460"/>
            <wp:effectExtent b="0" l="0" r="0" t="0"/>
            <wp:wrapSquare wrapText="bothSides" distB="0" distT="0" distL="0" distR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341" cy="251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L'extension du pâturage des vaches à 9 mois.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-327659</wp:posOffset>
            </wp:positionH>
            <wp:positionV relativeFrom="paragraph">
              <wp:posOffset>45085</wp:posOffset>
            </wp:positionV>
            <wp:extent cx="276379" cy="271695"/>
            <wp:effectExtent b="0" l="0" r="0" t="0"/>
            <wp:wrapSquare wrapText="bothSides" distB="0" distT="0" distL="0" distR="0"/>
            <wp:docPr id="2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379" cy="271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dotation de caillebotis dans les bâtiments d'élevages des vaches : cela permet de récupérer le lisier.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modification de l’alimentation des génisses : 6 mois de pâturages + 6 mois d’ensilage de maïs, d’ensilage d’herbes et de soja (24 mois au vêlage).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-323849</wp:posOffset>
            </wp:positionH>
            <wp:positionV relativeFrom="paragraph">
              <wp:posOffset>66675</wp:posOffset>
            </wp:positionV>
            <wp:extent cx="269251" cy="273893"/>
            <wp:effectExtent b="0" l="0" r="0" t="0"/>
            <wp:wrapSquare wrapText="bothSides" distB="0" distT="0" distL="0" distR="0"/>
            <wp:docPr id="2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251" cy="2738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Pour les bâtiments d’élevage, l’énergie consommée (électricité ou gaz) est destinée principalement au chauffage, à la ventilation ou à la préparation d’aliments. Par conséquent, augmenter le temps de pâturage des animaux permet une réduction de la quantité d'énergie utilisée grâce à une gestion plus efficiente des bâtiments. La récupération du lisier, elle, réduit la quantité de carburants utilisée dans notre exploitation agricole.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Ainsi, ces actions permettent d’atteindre un bon niveau d'efficience énergétique. Elles présentent cependant des lacunes, que l’on peut compenser en allant plus loin dans la démarche.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704850</wp:posOffset>
            </wp:positionV>
            <wp:extent cx="209550" cy="247650"/>
            <wp:effectExtent b="0" l="0" r="0" t="0"/>
            <wp:wrapSquare wrapText="bothSides" distB="114300" distT="114300" distL="114300" distR="114300"/>
            <wp:docPr id="2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II. Pour aller plus loin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Dans un second temps, il s’agira de s’orienter vers des actions annexes contributives de la réduction de la consommation en énergie.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609600</wp:posOffset>
            </wp:positionV>
            <wp:extent cx="266700" cy="271463"/>
            <wp:effectExtent b="0" l="0" r="0" t="0"/>
            <wp:wrapSquare wrapText="bothSides" distB="114300" distT="114300" distL="114300" distR="114300"/>
            <wp:docPr id="2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1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Diminuer les GES pour une meilleure qualité de l’air : le développement de l’agroforesterie ainsi que l’installation d’infrastructures vertes permet une diminution des GES par absorption du dioxyde de carbone.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-314324</wp:posOffset>
            </wp:positionH>
            <wp:positionV relativeFrom="paragraph">
              <wp:posOffset>657225</wp:posOffset>
            </wp:positionV>
            <wp:extent cx="285750" cy="271463"/>
            <wp:effectExtent b="0" l="0" r="0" t="0"/>
            <wp:wrapSquare wrapText="bothSides" distB="114300" distT="114300" distL="114300" distR="11430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1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Les pratiques agroécologiques visant à limiter les pertes d’azote et à accroître les stocks de carbone des sols : paille laissée sur le sol pour son renouvellement.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Modification des itinéraires techniques culturaux de travail du sol en réduisant les opération de travail du sol : un sol couvert en permanence par l'alternance de cultures “principales” et de culture de couverts.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-309562</wp:posOffset>
            </wp:positionH>
            <wp:positionV relativeFrom="paragraph">
              <wp:posOffset>695325</wp:posOffset>
            </wp:positionV>
            <wp:extent cx="257175" cy="266700"/>
            <wp:effectExtent b="0" l="0" r="0" t="0"/>
            <wp:wrapSquare wrapText="bothSides" distB="114300" distT="11430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Limitation des déplacements et donc de l’utilisation de carburant : utilisation de fertilisant produits à la ferme.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Diminution de l’utilisation des pesticides voire arrêt de la protection des cultures.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Diminution de la charge de travail et de gaz néfastes tel que le méthane : envisager une diminution du troupeau.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285750" cy="276225"/>
            <wp:effectExtent b="0" l="0" r="0" t="0"/>
            <wp:wrapSquare wrapText="bothSides" distB="114300" distT="11430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Envisager une stratégie d’investissement dans le but de développer l’utilisation des énergies renouvelables.</w:t>
      </w:r>
    </w:p>
    <w:p w:rsidR="00000000" w:rsidDel="00000000" w:rsidP="00000000" w:rsidRDefault="00000000" w:rsidRPr="00000000" w14:paraId="00000014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spacing w:after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bookmarkStart w:colFirst="0" w:colLast="0" w:name="_heading=h.glk21ecjymz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after="240" w:lineRule="auto"/>
        <w:jc w:val="center"/>
        <w:rPr>
          <w:rFonts w:ascii="Times New Roman" w:cs="Times New Roman" w:eastAsia="Times New Roman" w:hAnsi="Times New Roman"/>
          <w:b w:val="1"/>
          <w:color w:val="385623"/>
          <w:sz w:val="28"/>
          <w:szCs w:val="28"/>
        </w:rPr>
      </w:pPr>
      <w:bookmarkStart w:colFirst="0" w:colLast="0" w:name="_heading=h.wlug65xtj01j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213995" cy="251460"/>
            <wp:effectExtent b="0" l="0" r="0" t="0"/>
            <wp:docPr descr="C:\Users\schot\Desktop\feuille verte.png" id="20" name="image7.png"/>
            <a:graphic>
              <a:graphicData uri="http://schemas.openxmlformats.org/drawingml/2006/picture">
                <pic:pic>
                  <pic:nvPicPr>
                    <pic:cNvPr descr="C:\Users\schot\Desktop\feuille verte.png" id="0" name="image7.png"/>
                    <pic:cNvPicPr preferRelativeResize="0"/>
                  </pic:nvPicPr>
                  <pic:blipFill>
                    <a:blip r:embed="rId15"/>
                    <a:srcRect b="9607" l="14591" r="15657" t="8541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51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Bibliographie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213995" cy="251460"/>
            <wp:effectExtent b="0" l="0" r="0" t="0"/>
            <wp:docPr descr="C:\Users\schot\Desktop\feuille verte.png" id="23" name="image7.png"/>
            <a:graphic>
              <a:graphicData uri="http://schemas.openxmlformats.org/drawingml/2006/picture">
                <pic:pic>
                  <pic:nvPicPr>
                    <pic:cNvPr descr="C:\Users\schot\Desktop\feuille verte.png" id="0" name="image7.png"/>
                    <pic:cNvPicPr preferRelativeResize="0"/>
                  </pic:nvPicPr>
                  <pic:blipFill>
                    <a:blip r:embed="rId15"/>
                    <a:srcRect b="9607" l="14591" r="15657" t="8541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51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2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Ademe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2015. Maîtriser l’énergie en agriculture : un objectif économique et environnemental. Ademe, coll. Agriculture et environnement, fiche n°1, 14p.</w:t>
      </w:r>
    </w:p>
    <w:p w:rsidR="00000000" w:rsidDel="00000000" w:rsidP="00000000" w:rsidRDefault="00000000" w:rsidRPr="00000000" w14:paraId="00000018">
      <w:pPr>
        <w:spacing w:line="324.0000000000000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BOCHU J-L, MONCAMP M, MEIFFREN I, GRISEY A, LARROCHE A-L, GENDRE S, CHAPUIS S, CAPDEVILLE J, BLANCHIN J-Y, AMAND G,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2019. Agriculture et efficacité énergétique. 40 p.-85 p.-59 p.-177 p</w:t>
      </w:r>
    </w:p>
    <w:p w:rsidR="00000000" w:rsidDel="00000000" w:rsidP="00000000" w:rsidRDefault="00000000" w:rsidRPr="00000000" w14:paraId="00000019">
      <w:pPr>
        <w:spacing w:line="324.0000000000000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Le bois énergie: définition, usages et chiffres clés.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Disponible en: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https://www.connaissancedesenergies.org/fiche-pedagogique/bois-energie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Accès le 01 Juin 2020</w:t>
      </w:r>
    </w:p>
    <w:p w:rsidR="00000000" w:rsidDel="00000000" w:rsidP="00000000" w:rsidRDefault="00000000" w:rsidRPr="00000000" w14:paraId="0000001A">
      <w:pPr>
        <w:spacing w:line="324.0000000000000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38562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</w:rPr>
        <w:drawing>
          <wp:inline distB="114300" distT="114300" distL="114300" distR="114300">
            <wp:extent cx="219075" cy="247650"/>
            <wp:effectExtent b="0" l="0" r="0" t="0"/>
            <wp:docPr id="1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  Auteurs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</w:rPr>
        <w:drawing>
          <wp:inline distB="114300" distT="114300" distL="114300" distR="114300">
            <wp:extent cx="219075" cy="247650"/>
            <wp:effectExtent b="0" l="0" r="0" t="0"/>
            <wp:docPr id="2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Times New Roman" w:cs="Times New Roman" w:eastAsia="Times New Roman" w:hAnsi="Times New Roman"/>
          <w:color w:val="3856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85623"/>
          <w:rtl w:val="0"/>
        </w:rPr>
        <w:t xml:space="preserve">SCHOTT Roxane, PAGLIARO Rosalba, THEOLEYRE Juliette,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Times New Roman" w:cs="Times New Roman" w:eastAsia="Times New Roman" w:hAnsi="Times New Roman"/>
          <w:color w:val="38562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5623"/>
          <w:sz w:val="18"/>
          <w:szCs w:val="18"/>
          <w:rtl w:val="0"/>
        </w:rPr>
        <w:t xml:space="preserve"> avec la participation de </w:t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Times New Roman" w:cs="Times New Roman" w:eastAsia="Times New Roman" w:hAnsi="Times New Roman"/>
          <w:color w:val="38562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5623"/>
          <w:sz w:val="18"/>
          <w:szCs w:val="18"/>
          <w:rtl w:val="0"/>
        </w:rPr>
        <w:t xml:space="preserve">OGEL Nathan</w:t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Times New Roman" w:cs="Times New Roman" w:eastAsia="Times New Roman" w:hAnsi="Times New Roman"/>
          <w:color w:val="38562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5623"/>
          <w:sz w:val="18"/>
          <w:szCs w:val="18"/>
          <w:rtl w:val="0"/>
        </w:rPr>
        <w:t xml:space="preserve"> NUFFER Pierre</w:t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Times New Roman" w:cs="Times New Roman" w:eastAsia="Times New Roman" w:hAnsi="Times New Roman"/>
          <w:color w:val="38562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5623"/>
          <w:sz w:val="18"/>
          <w:szCs w:val="18"/>
          <w:rtl w:val="0"/>
        </w:rPr>
        <w:t xml:space="preserve">GUIGOU Julien</w:t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Times New Roman" w:cs="Times New Roman" w:eastAsia="Times New Roman" w:hAnsi="Times New Roman"/>
          <w:color w:val="38562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5623"/>
          <w:sz w:val="18"/>
          <w:szCs w:val="18"/>
          <w:rtl w:val="0"/>
        </w:rPr>
        <w:t xml:space="preserve">GUIGNOT-MUFFET  Killian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Times New Roman" w:cs="Times New Roman" w:eastAsia="Times New Roman" w:hAnsi="Times New Roman"/>
          <w:color w:val="38562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5623"/>
          <w:sz w:val="18"/>
          <w:szCs w:val="18"/>
          <w:rtl w:val="0"/>
        </w:rPr>
        <w:t xml:space="preserve">SONNTAG Sylvain</w:t>
      </w:r>
    </w:p>
    <w:p w:rsidR="00000000" w:rsidDel="00000000" w:rsidP="00000000" w:rsidRDefault="00000000" w:rsidRPr="00000000" w14:paraId="00000023">
      <w:pPr>
        <w:spacing w:line="32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2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SEGAE – Serious Game Agroécologique</w:t>
      <w:tab/>
      <w:t xml:space="preserve"> </w:t>
      <w:tab/>
      <w:t xml:space="preserve">Institut Agro - Agrocampus Ouest - Juin 2020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6273B1"/>
    <w:pPr>
      <w:spacing w:after="0" w:line="276" w:lineRule="auto"/>
    </w:pPr>
    <w:rPr>
      <w:rFonts w:ascii="Arial" w:cs="Arial" w:eastAsia="Arial" w:hAnsi="Arial"/>
      <w:lang w:eastAsia="fr-FR" w:val="fr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9D497F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I" w:customStyle="1">
    <w:name w:val="Titre I"/>
    <w:basedOn w:val="Titre1"/>
    <w:next w:val="Normal"/>
    <w:link w:val="TitreICar"/>
    <w:qFormat w:val="1"/>
    <w:rsid w:val="00A348F4"/>
    <w:pPr>
      <w:numPr>
        <w:numId w:val="4"/>
      </w:numPr>
      <w:spacing w:line="360" w:lineRule="auto"/>
    </w:pPr>
    <w:rPr>
      <w:rFonts w:asciiTheme="minorHAnsi" w:hAnsiTheme="minorHAnsi"/>
      <w:color w:val="c00000"/>
      <w:u w:val="single"/>
    </w:rPr>
  </w:style>
  <w:style w:type="character" w:styleId="TitreICar" w:customStyle="1">
    <w:name w:val="Titre I Car"/>
    <w:basedOn w:val="Policepardfaut"/>
    <w:link w:val="TitreI"/>
    <w:rsid w:val="00A348F4"/>
    <w:rPr>
      <w:rFonts w:cstheme="majorBidi" w:eastAsiaTheme="majorEastAsia"/>
      <w:color w:val="c00000"/>
      <w:sz w:val="32"/>
      <w:szCs w:val="32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9D497F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II" w:customStyle="1">
    <w:name w:val="Titre II"/>
    <w:basedOn w:val="Normal"/>
    <w:next w:val="Normal"/>
    <w:link w:val="TitreIICar"/>
    <w:qFormat w:val="1"/>
    <w:rsid w:val="00474287"/>
    <w:pPr>
      <w:numPr>
        <w:numId w:val="8"/>
      </w:numPr>
      <w:ind w:left="1776" w:hanging="360"/>
    </w:pPr>
    <w:rPr>
      <w:rFonts w:cstheme="majorBidi" w:eastAsiaTheme="majorEastAsia"/>
      <w:color w:val="ff0000"/>
      <w:sz w:val="28"/>
      <w:szCs w:val="32"/>
      <w:u w:val="single"/>
    </w:rPr>
  </w:style>
  <w:style w:type="character" w:styleId="TitreIICar" w:customStyle="1">
    <w:name w:val="Titre II Car"/>
    <w:basedOn w:val="TitreICar"/>
    <w:link w:val="TitreII"/>
    <w:rsid w:val="00474287"/>
    <w:rPr>
      <w:rFonts w:cstheme="majorBidi" w:eastAsiaTheme="majorEastAsia"/>
      <w:color w:val="ff0000"/>
      <w:sz w:val="28"/>
      <w:szCs w:val="32"/>
      <w:u w:val="single"/>
    </w:rPr>
  </w:style>
  <w:style w:type="paragraph" w:styleId="TitreIII" w:customStyle="1">
    <w:name w:val="Titre III"/>
    <w:basedOn w:val="Paragraphedeliste"/>
    <w:next w:val="Normal"/>
    <w:link w:val="TitreIIICar"/>
    <w:qFormat w:val="1"/>
    <w:rsid w:val="009D497F"/>
    <w:pPr>
      <w:tabs>
        <w:tab w:val="num" w:pos="720"/>
      </w:tabs>
      <w:ind w:left="2484" w:hanging="360"/>
    </w:pPr>
    <w:rPr>
      <w:color w:val="2e74b5" w:themeColor="accent1" w:themeShade="0000BF"/>
    </w:rPr>
  </w:style>
  <w:style w:type="character" w:styleId="TitreIIICar" w:customStyle="1">
    <w:name w:val="Titre III Car"/>
    <w:basedOn w:val="Policepardfaut"/>
    <w:link w:val="TitreIII"/>
    <w:rsid w:val="009D497F"/>
    <w:rPr>
      <w:color w:val="2e74b5" w:themeColor="accent1" w:themeShade="0000BF"/>
      <w:sz w:val="24"/>
    </w:rPr>
  </w:style>
  <w:style w:type="paragraph" w:styleId="Paragraphedeliste">
    <w:name w:val="List Paragraph"/>
    <w:basedOn w:val="Normal"/>
    <w:uiPriority w:val="34"/>
    <w:qFormat w:val="1"/>
    <w:rsid w:val="009D497F"/>
    <w:pPr>
      <w:ind w:left="720"/>
      <w:contextualSpacing w:val="1"/>
    </w:pPr>
  </w:style>
  <w:style w:type="paragraph" w:styleId="TITRE" w:customStyle="1">
    <w:name w:val="TITRE"/>
    <w:basedOn w:val="Titre0"/>
    <w:next w:val="Normal"/>
    <w:link w:val="TITRECar"/>
    <w:qFormat w:val="1"/>
    <w:rsid w:val="009D497F"/>
    <w:pPr>
      <w:jc w:val="center"/>
    </w:pPr>
    <w:rPr>
      <w:rFonts w:asciiTheme="minorHAnsi" w:hAnsiTheme="minorHAnsi"/>
      <w:b w:val="1"/>
      <w:color w:val="0070c0"/>
      <w:sz w:val="36"/>
    </w:rPr>
  </w:style>
  <w:style w:type="character" w:styleId="TITRECar" w:customStyle="1">
    <w:name w:val="TITRE Car"/>
    <w:basedOn w:val="Policepardfaut"/>
    <w:link w:val="TITRE"/>
    <w:rsid w:val="009D497F"/>
    <w:rPr>
      <w:rFonts w:cstheme="majorBidi" w:eastAsiaTheme="majorEastAsia"/>
      <w:b w:val="1"/>
      <w:color w:val="0070c0"/>
      <w:spacing w:val="-10"/>
      <w:kern w:val="28"/>
      <w:sz w:val="36"/>
      <w:szCs w:val="56"/>
    </w:rPr>
  </w:style>
  <w:style w:type="paragraph" w:styleId="Titre0">
    <w:name w:val="Title"/>
    <w:basedOn w:val="Normal"/>
    <w:next w:val="Normal"/>
    <w:link w:val="TitreCar0"/>
    <w:uiPriority w:val="10"/>
    <w:qFormat w:val="1"/>
    <w:rsid w:val="009D497F"/>
    <w:pPr>
      <w:spacing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Car0" w:customStyle="1">
    <w:name w:val="Titre Car"/>
    <w:basedOn w:val="Policepardfaut"/>
    <w:link w:val="Titre0"/>
    <w:uiPriority w:val="10"/>
    <w:rsid w:val="009D497F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 w:val="1"/>
    <w:rsid w:val="008451FA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451FA"/>
    <w:rPr>
      <w:rFonts w:ascii="Arial" w:cs="Arial" w:eastAsia="Arial" w:hAnsi="Arial"/>
      <w:lang w:eastAsia="fr-FR" w:val="fr"/>
    </w:rPr>
  </w:style>
  <w:style w:type="paragraph" w:styleId="Pieddepage">
    <w:name w:val="footer"/>
    <w:basedOn w:val="Normal"/>
    <w:link w:val="PieddepageCar"/>
    <w:uiPriority w:val="99"/>
    <w:unhideWhenUsed w:val="1"/>
    <w:rsid w:val="008451FA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451FA"/>
    <w:rPr>
      <w:rFonts w:ascii="Arial" w:cs="Arial" w:eastAsia="Arial" w:hAnsi="Arial"/>
      <w:lang w:eastAsia="fr-FR" w:val="fr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E727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E7276"/>
    <w:rPr>
      <w:rFonts w:ascii="Segoe UI" w:cs="Segoe UI" w:eastAsia="Arial" w:hAnsi="Segoe UI"/>
      <w:sz w:val="18"/>
      <w:szCs w:val="18"/>
      <w:lang w:eastAsia="fr-FR" w:val="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0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2.png"/><Relationship Id="rId17" Type="http://schemas.openxmlformats.org/officeDocument/2006/relationships/image" Target="media/image6.png"/><Relationship Id="rId16" Type="http://schemas.openxmlformats.org/officeDocument/2006/relationships/hyperlink" Target="https://www.connaissancedesenergies.org/fiche-pedagogique/bois-energ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SpJa8jdHYKrbR0FciA1UGNEWQ==">AMUW2mU9cZJnDJg+9EkDruq7X+kOuW8EmMoXziBBe7PSXgSn/AslVWhdTS9E+QK0Yt037YvoueZ0a8KlMrOrvoOplggEL6hMU532CKPNil6cwKJLg3SbTHjhNqdZz4w1K42IqkebSMxxsFlpbhc/cy/OYB8mNf2T7Q==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2020-05-20T17:35:00Z</dcterms:created>
  <dc:creator>Roxane Schott</dc:creator>
</cp:coreProperties>
</file>